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C-1155/2010 vom 19. September 2011</w:t>
      </w:r>
    </w:p>
    <w:p>
      <w:r>
        <w:t>Bundesverwaltungsgericht, 2011-09-19, IT</w:t>
      </w:r>
    </w:p>
    <w:p>
      <w:r>
        <w:rPr>
          <w:b/>
        </w:rPr>
        <w:t xml:space="preserve">Quelle: </w:t>
      </w:r>
      <w:r>
        <w:t>https://mcp.opencaselaw.ch/entscheid/bvger_C-1155_2010</w:t>
      </w:r>
    </w:p>
    <w:p>
      <w:r>
        <w:t>FR: TAF C-1155/2010 du 19 septembre 2011</w:t>
      </w:r>
    </w:p>
    <w:p>
      <w:r>
        <w:t>IT: TAF C-1155/2010 del 19 settembre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Il ricorrente contesta la validità materiale della decisione dell'UAIE, chiedendo che gli sia riconosciuto il diritto ad una rendita d'invalidità.</w:t>
      </w:r>
    </w:p>
    <w:p>
      <w:r>
        <w:rPr>
          <w:b/>
        </w:rPr>
        <w:t>E. 5</w:t>
      </w:r>
    </w:p>
    <w:p>
      <w:r>
        <w:t>Secondo le norme applicabili, per avere diritto ad una rendita dell'assicurazione invalidità svizzera, un cittadino spagnolo deve adempiere, cumulativamente, le seguenti condizioni: - essere invalido ai sensi della legge svizzera; - avere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dell'ALC, la limitazione prevista dall'art. 28 cpv. 1 ter LAI (art.29 cpv. 4 LAI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la sua attività di cameriere l'8 settembre 2006 e, da allora, non ha più ripreso alcuna attività lucrativa, per cui occorre fondarsi sui documenti medici al fine di valutare la sua capacità lavorativa.</w:t>
      </w:r>
    </w:p>
    <w:p>
      <w:r>
        <w:rPr>
          <w:b/>
        </w:rPr>
        <w:t>E. 8.2</w:t>
      </w:r>
    </w:p>
    <w:p>
      <w:r>
        <w:t>Ora, nella documentazione medica all'incarto e, essenzialmente, nelle perizie mediche particolareggiate E 213 della dott.ssa Guerricagoitia Mendez e della dott.ssa D._______, medici dell'INSS, del 22 luglio 2008, rispettivamente del 2 aprile 2009 (doc. 14 e 24), e nelle prese di posizione del dott. C._______, medico dell'UAIE, del 20 agosto e 26 dicembre 2009 e del 12 giugno 2010 (doc. 53, 65 e 75), sono diagnosticati degli esiti da meniscectomia mediale sinistra con lesione del legamento incrociato anteriore (25.2.1972), da distorsione del ginocchio destro (17.5.1986), da artroscopie per rottura del legamento incrociato posteriore (13.6.1986), rispettivamente anteriore, con meniscectomia mediale parziale (11.3.1988), del ginocchio destro, da osteotomia della testa della tibia in valgo sinistra (4.6.1992), da asportazione del metallo dalla testa della tibia sinistra (21.1.1993), e da ricostruzione artroscopica del legamento crociato anteriore destro del ginocchio sinistro (21.9.1993), come pure una gonartrosi bilaterale (gonartrosi tricompartimentale severa a sinistra, gonartrosi mediale e femoropatellare severa a destra), adiposità, un'ipertonia arteriale, una sindrome cervicale e lombovertebrale recidivante, degli esiti da operazione di un'ernia inguinale bilaterale (28.2.2007) e da tonsillectomia, nonché un abuso nicotinico. Questa diagnosi è univoca agli atti e non contestata dal ricorrente, per cui il collegio giudicante non può che adottarla.</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9.1</w:t>
      </w:r>
    </w:p>
    <w:p>
      <w:r>
        <w:t>Rispetto all'influenza delle dette affezioni sulla capacità lavorativa, la dott.ssa B._______, medico dell'INSS, ha specificato, nella sua perizia E 213 del 22 luglio 2008, che il ricorrente può esercitare regolarmente un'attività lavorativa leggera, non implicante il sollevamento e il trasporto frequenti di oggetti, l'uso di ogni tipo di scale nonché l'esposizione al calore, come pure, in generale, un sovraccarico meccanico delle ginocchia, ma che egli non è più in grado di svolgere il suo ultimo lavoro di saldatore ("soldador"), ed ha stimato ciononostante un grado d'invalidità totale ("incapacidad permanente total"). L'altro medico dell'INSS che si è occupato del caso, la dott.ssa D._______, ha precisato, nella sua perizia E 213 del 2 aprile 2009, che il ricorrente può esercitare regolarmente un'attività lavorativa leggera e sedentaria, non implicante il sollevamento e il trasporto frequenti di oggetti, l'uso di ogni tipo di scale nonché l'esposizione al calore, e che egli è in grado di svolgere il suo ultimo lavoro di cameriere solamente in una misura inferiore al 20%, quantificando cionondimeno un grado d'invalidità totale ("incapacidad permanente total"). Dal canto suo, dopo avere richiesto un complemento istruttorio (doc. 28), il dott. C._______ ha formulato, nella sua presa di posizione del 20 agosto 2009, un'incapacità lavorativa, a decorrere dal 22 luglio 2008, data della perizia E 213 della dott.ssa B._______, completa per l'attività abituale di cameriere e, in riferimento alla perizia E 213 del 2 aprile 2009, del 20% in attività confacenti a tempo pieno, quali magazziniere, venditore o cassiere, con pause normali, in posizione seduta, implicanti spostamenti solo su tratte molto brevi e raramente il trasporto di carichi non superiori a 5 kg, al riparo dal freddo, dall'umidità e dalle intemperie. Il medico dell'UAIE ha confermato questa valutazione del caso il 26 dicembre 2009, nell'ambito della procedura d'audizione relativa al progetto di decisione.</w:t>
      </w:r>
    </w:p>
    <w:p>
      <w:r>
        <w:rPr>
          <w:b/>
        </w:rPr>
        <w:t>E. 9.2</w:t>
      </w:r>
    </w:p>
    <w:p>
      <w:r>
        <w:t>Nel quadro della presente procedura il ricorrente ha allegato diversa documentazione medica, tra cui un rapporto del dott. G._______, del 19 febbraio 2010, nel quale, sulla base della diagnosi di discopatie degenerative da C/3 a 7 e da L/1 a 5, di schiacciamenti delle vertebre lombari, di un'ateromatosi aortica e d'una gonartrosi con genu varum bilaterale di 4° grado, è stabilita un'incapacità lavorativa per qualsiasi attività, anche sedentaria. Esprimendosi specificatamente su questo rapporto medico e sulle radiografie allegatevi, il dott. C._______ ha considerato, nella sua presa di posizione del 12 giugno 2010, che le discopatie degenerative in esso descritte, e constatabili radiologicamente, non ingenerano limitazioni superiori a quelle dovute alla gonartrosi bilaterale, confermando perciò le conclusioni dei suoi due precedenti rapporti. Il medico dell'UAIE ha formulato lo stesso apprezzamento della situazione, il 7 settembre 2010, in riferimento al secondo rapporto del dott. G._______, del 18 agosto 2010, identico al primo rapporto dello stesso medico.</w:t>
      </w:r>
    </w:p>
    <w:p>
      <w:r>
        <w:rPr>
          <w:b/>
        </w:rPr>
        <w:t>E. 9.3</w:t>
      </w:r>
    </w:p>
    <w:p>
      <w:r>
        <w:t>Visto quanto precede, il collegio giudicante constata che il ricorrente non è più in grado di esercitare la sua attività abituale di cameriere, ma che egli è atto a svolgere regolarmente, nella misura dell'80%, come fissato dal dott. C._______ in riferimento alle perizie E 213 dei medici dell'INSS, un lavoro leggero confacente, con pause normali, in posizione seduta, implicante spostamenti solo su tratte molto brevi e raramente il trasporto di carichi non superiori a 5 kg, al riparo dal freddo, dall'umidità e dalle intemperie, quali le attività di magazziniere, venditore o cassiere. Questi limiti funzionali si riscontrano pure, specialmente per quanto attiene alla necessità di non sottoporre le ginocchia a sovraccarichi, in una parte dei documenti medici trasmessi dal ricorrente nel quadro della presente procedura. 10.1. Per valutare il grado d'invalidità, come già esposto al consid. 6.5, seguendo l'art. 16 LPGA, il reddito che l'assicurato invalido potrebbe conseguire esercitando l'attività ragionevolmente esigibile da lui dopo la cura medica e l'eventuale esecuzione di provvedimenti d'integrazione, tenuto conto di una situazione equilibrata del mercato del lavoro (salario da invalido), è confrontato con il reddito che egli avrebbe potuto ottenere se non fosse diventato invalido (salario da valido). Peraltro, non risulta dagli atti che il ricorrente abbia bisogno di provvedimenti d'integrazione, per cui il calcolo del grado d'invalidità può essere effettuato immediatamente (sentenza del Tribunale federale 9C_141/2009, del 5 ottobre 2009, consid. 2.3.1). In concreto, l'UAIE ha effettuato il calcolo del grado d'invalidità, il 15 settembre 2009 (doc. 54), sulla base dei dati dell'UFS, e ciò in assenza di dati spagnoli affidabili (sentenza del Tribunale federale I 232/06, del 25 ottobre 2006, consid. 4). Questo modo di procedere è corretto nella misura in cui i salari da valido e da invalido sono equivalenti, ossia si rapportano allo stesso mercato del lavoro e allo stesso anno di riferimento (DTF 110 V 273 consid. 4d; sentenza del Tribunale federale I 383/06, del 5 aprile 2007, consid. 4.4). L'UAIE ha così optato per un reddito ipotetico da valido, nel 2006, quale dipendente nel ramo alberghiero e della ristorazione con conoscenze professionali specializzate, di Fr. 4'127.- (tabella TA 1, categoria 3), adattato a 42.1 ore settimanali, ossia Fr. 4'343.67, e, come reddito da invalido, sempre nel 2006, dopo avere eliminato i salari da venditore all'ingrosso e al dettaglio di Fr. 4'792.- e 4'383.-, superiori a quello da valido, ha tenuto conto di un valore di Fr. 4'343.67, ridotto del 20% in funzione delle circostanze personali dell'assicurato e considerato nella misura dell'80% (capacità lavorativa residua), ossia Fr. 2'779.95. Procedendo al raffronto dei due redditi, l'UAIE ha ottenuto una perdita di guadagno del 35.99%, corrispondente ad un grado d'invalidità del 36%, il quale non dà diritto ad alcuna rendita d'invalidità svizzera. A questo proposito, benché l'UAIE avesse dovuto riferirsi ai dati statistici dell'UFS per il 2008, normalmente disponibili, indicizzati al 2009, ciò non influirebbe sulla misura del grado d'invalidità, tanto più che l'amministrazione ha tenuto conto del salario da invalido più favorevole al ricorrente, equivalente a quello da valido, al posto del salario relativo alle attività di sostituzione.</w:t>
      </w:r>
    </w:p>
    <w:p>
      <w:r>
        <w:rPr>
          <w:b/>
        </w:rPr>
        <w:t>E. 11</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12</w:t>
      </w:r>
    </w:p>
    <w:p>
      <w:r>
        <w:t>Di conseguenza, il ricorso deve essere respinto e la decisione avversata confermata.</w:t>
      </w:r>
    </w:p>
    <w:p>
      <w:r>
        <w:rPr>
          <w:b/>
        </w:rPr>
        <w:t>E. 13</w:t>
      </w:r>
    </w:p>
    <w:p>
      <w:r>
        <w:t>Secondo l'art. 63 cpv. 1 PA, le spese processuali sono di regola messe a carico della parte soccombente. In concreto, visto l'esito della procedura che vede il ricorrente soccombere, le spese processuali di Fr. 300.- sono poste a suo carico e compensate con l'anticipo dello stesso ammontare, versato il 12 ottobre 2010. In conformità con l'art. 64 cpv. 1 PA, l'autorità di ricorso, se ammette il ricorso in tutto o in parte, può assegnare al ricorrente una indennità per le spese indispensabili e relativamente elevate che ha sopportato (spese ripetibili). Dato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