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C-1153/2013 vom 1. April 2014</w:t>
      </w:r>
    </w:p>
    <w:p>
      <w:r>
        <w:t>Bundesverwaltungsgericht, 2014-04-01, DE</w:t>
      </w:r>
    </w:p>
    <w:p>
      <w:r>
        <w:rPr>
          <w:b/>
        </w:rPr>
        <w:t xml:space="preserve">Quelle: </w:t>
      </w:r>
      <w:r>
        <w:t>https://mcp.opencaselaw.ch/entscheid/bvger_C-1153_2013</w:t>
      </w:r>
    </w:p>
    <w:p>
      <w:r>
        <w:t>FR: TAF C-1153/2013 du 1 avril 2014</w:t>
      </w:r>
    </w:p>
    <w:p>
      <w:r>
        <w:t>IT: TAF C-1153/2013 del 1 aprile 2014</w:t>
      </w:r>
    </w:p>
    <w:p>
      <w:pPr>
        <w:pStyle w:val="Heading2"/>
      </w:pPr>
      <w:r>
        <w:t>Regeste</w:t>
      </w:r>
    </w:p>
    <w:p>
      <w:r>
        <w:t>Schengen-Visum</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VwVG, welche von einer in Art. 33 VGG aufgeführten Behörde erlassen wurden. Darunter fallen u.a. Verfügungen bzw. Einspracheentscheide des BFM, mit denen die Ertei­lung eines Schengenvisums zu Besuchszwecken verweigert wird. In die­ser Materie entscheidet das Bundesverwaltungsgericht endgültig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Gemäss Art. 48 VwVG muss die Beschwerdeführerin ein aktuelles und praktisches Interesse an der Aufhebung oder Änderung der angefochtenen Verfügung bzw. an der Überprüfung der von ihm erhobenen Rügen haben. Obwohl der beabsichtigte Aufenthalt in der Schweiz mit der Geburt des dritten Kindes der Gastgeber begründet wurde und dieses sich zwischenzeitlich im zweiten Lebensjahr befinden dürfte, kann der Beschwerdeführerin die Schutzwürdigkeit ihres Interesses nicht abgesprochen werden. Es kann aus der Beschwerde vom 4. März 2013 implizit geschlossen werden, dass die Beschwerdeführerin weiterhin ein Interesse daran hat, ihre Tochter, deren Ehegatte und die drei Enkelkinder, im Rahmen eines Familienbesuchs, in der Schweiz zu treffen. Somit ist die Beschwerdelegitimation in diesem modifizierten Rahmen zu bejahen. Auf die im Übrigen frist- und formgerecht eingereichte Beschwerde ist daher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2012/21 E. 5.1, BVGE 2011/43 E. 6.1 und BVGE 2011/1 E. 2).</w:t>
      </w:r>
    </w:p>
    <w:p>
      <w:r>
        <w:rPr>
          <w:b/>
        </w:rPr>
        <w:t>E. 3</w:t>
      </w:r>
    </w:p>
    <w:p>
      <w:r>
        <w:t>Die Voraussetzungen für die Erteilung eines Visums präsentieren sich im Anwendungsbereich der erwähnten Rechtsgrundlagen wie folgt:</w:t>
      </w:r>
    </w:p>
    <w:p>
      <w:r>
        <w:rPr>
          <w:b/>
        </w:rPr>
        <w:t>E. 3.1</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mit Hinweisen).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(a.M. Philipp Egli/Tobias D. Meyer, in: Caroni/Gächter/Thurn­herr [Hrsg.], Stämpflis Handkommentar zum Bundesgesetz über die Auslän­derinnen und Ausländer, Bern 2010, Art. 5 N. 3 f.).</w:t>
      </w:r>
    </w:p>
    <w:p>
      <w:r>
        <w:rPr>
          <w:b/>
        </w:rPr>
        <w:t>E. 3.2</w:t>
      </w:r>
    </w:p>
    <w:p>
      <w:r>
        <w:t>Drittstaatsangehörige dürfen über die Aussengrenzen des Schengen-Raums für einen Aufenthalt von höchstens 90 Tagen innerhalb eines Zeitraums von 180 Tagen einreisen, wenn sie im Besitz gültiger Reisedokumente sind, die zum Grenzübertritt berechtigen. Ferner benötigen sie ein Visum, falls ein solches nach Massgabe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erforderlich ist. Kein Visum benötigen Drittstaatsangehörige, die Inhaber eines gültigen Aufenthaltstitels sind oder über ein gültiges Visum für den längerfristigen Aufenthalt verfügen (vgl. Art. 5 Abs. 1 Bst. a AuG,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 Art. 4 VEV).</w:t>
      </w:r>
    </w:p>
    <w:p>
      <w:r>
        <w:rPr>
          <w:b/>
        </w:rPr>
        <w:t>E. 3.3</w:t>
      </w:r>
    </w:p>
    <w:p>
      <w:r>
        <w:t>Im Weiteren müssen Drittstaatsangehörige den Zweck und die Um­stände ihres beabsichtigten Aufenthalts belegen und hierfür über ausrei­chende finanzielle Mittel verfügen (Art. 5 Abs. 1 Bst. b AuG, Art. 2 Abs. 1 VEV, Art. 5 Abs. 1 Bst. c und Abs. 3 SGK sowie Art. 14 Abs. 1 Bst. a-c der Verordnung [EG] Nr. 810/2009 des Europäischen Parlaments und des Rates vom 13. Juli 2009 über einen Visakodex der Gemeinschaft [nachfolgend: Visakodex]). Namentlich haben sie in diesem Zusammenhang zu belegen, dass sie den Schengen-Raum vor Ablauf des bewilligungsfreien Aufenthaltes verlassen, bzw. ausreichende Gewähr für eine fristgerechte Wiederausreise zu bieten (Art. 14 Abs. 1 Bst. d und Art. 21 Abs. 1 Visakodex sowie Art. 5 Abs. 2 AuG; vgl. dazu Egli/Meyer, a.a.O. Art. 5 N. 33). Weiterhin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e SGK).</w:t>
      </w:r>
    </w:p>
    <w:p>
      <w:r>
        <w:rPr>
          <w:b/>
        </w:rPr>
        <w:t>E. 3.4</w:t>
      </w:r>
    </w:p>
    <w:p>
      <w:r>
        <w:t>Eine Gefahr für die öffentliche Ordnung im Sinne von Art. 5 Abs. 1 Bst. e SGK ist auch dann anzunehmen, wenn die drittstaatsangehörige Person nicht bereit ist, das Hoheitsgebiet des Schengen-Raums fristgerecht wie­der zu verlassen (vgl. dazu Egli/Meyer, a.a.O., Art. 5 N. 33; ferner Urteil des deutschen Bundesverwaltungsgerichts 1 C. 1.10 vom 11. Januar 2011 Rz. 29). Die Behörden haben daher zu prüfen und drittstaatsangehörige Personen zu belegen, dass die Gefahr einer rechtswidrigen Einwanderung oder einer nicht fristgerechten Ausreise nicht besteht (Art. 14 Abs. 1 Bst. d und Art. 21 Abs. 1 Visakodex). Die Gewähr der gesicherten Wiederausreise, wie sie Art. 5 Abs. 2 AuG verlangt, wenn nur ein vorübergehender Aufenthalt vorgesehen ist, steht mit dieser Regelung im Einklang (vgl. BVGE 2009/27 E. 5 mit Hervorhebung des Zusammenhangs zum Einreiseerfordernis des belegten Aufenthaltszwecks nach Art. 5 Abs. 1 Bst. c SGK).</w:t>
      </w:r>
    </w:p>
    <w:p>
      <w:r>
        <w:rPr>
          <w:b/>
        </w:rPr>
        <w:t>E. 3.5</w:t>
      </w:r>
    </w:p>
    <w:p>
      <w:r>
        <w:t>Sind die vorerwähnten Einreisevoraussetzungen (Visum ausgenom­men) nicht erfüllt, darf ein für den gesamten Schengen-Raum geltendes "einheitliches Visum" (Art. 2 Ziff. 3 Visakodex) nicht erteilt werden (Art. 12 VEV, Art. 32 SGK).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"Visum mit räumlich beschränkter Gültigkeit" zu erteilen (Art. 2 Ziff. 4 Visakodex). Dieses Visum ist grundsätzlich nur für das Hoheitsgebiet des ausstellenden Staates gültig (Art. 32 i.V.m. Art. 25 Abs. 1 Bst. a Visakodex; unter denselben Voraussetzungen kann einer drittstaatsangehörigen Person die Einreise an den Aussengrenzen gestattet werden, vgl. Art. 5 Abs. 4 Bst. c SGK).</w:t>
      </w:r>
    </w:p>
    <w:p>
      <w:r>
        <w:rPr>
          <w:b/>
        </w:rPr>
        <w:t>E. 4</w:t>
      </w:r>
    </w:p>
    <w:p>
      <w:r>
        <w:t>Die Vorinstanz bringt in ihrer Verfügung vom 8. Februar 2013 zunächst vor, die Beschwerdeführerin sei pensioniert und beziehe eine Rente. Obschon sie angeblich ein Grundstück mit einem grossen Wohnhaus besitze, könne insgesamt nicht von gefestigten wirtschaftlichen Verhältnissen ausgegangen werden. Komme hinzu, dass bei den Gastgebern - nach Einschätzung der zuständigen kantonalen Behörde - die notwendigen finanziellen Mittel für einen Besuchsaufenthalt der Beschwerdeführerin nicht vorhanden seien. Da die Gastgeberfamilie vom zuständigen Sozialdienst unterstützt werde, sei die finanzielle Garantiefähigkeit nicht gegeben.</w:t>
      </w:r>
    </w:p>
    <w:p>
      <w:r>
        <w:rPr>
          <w:b/>
        </w:rPr>
        <w:t>E. 5.1</w:t>
      </w:r>
    </w:p>
    <w:p>
      <w:r>
        <w:t>Bei der Beurteilung, ob ein Drittstaatsangehöriger über ausreichend finanzielle Mittel verfügt, ist gemäss Art. 5 Abs. 1 Bst. c SGK massgebend, ob er den Lebensunterhalt sowohl für die Dauer des beabsichtigten Aufenthalts als auch für die Rückreise in den Herkunftsstaat oder für eine Durchreise in einen Drittstaat, in dem seine Zulassung gewährleistet ist, bestreiten kann oder in der Lage ist, diese Mittel rechtmässig zu erwerben.</w:t>
      </w:r>
    </w:p>
    <w:p>
      <w:r>
        <w:rPr>
          <w:b/>
        </w:rPr>
        <w:t>E. 5.2</w:t>
      </w:r>
    </w:p>
    <w:p>
      <w:r>
        <w:t>Die Feststellung ausreichender Mittel zur Bestreitung des Lebensunterhalts kann anhand von Bargeld, Reisechecks und Kreditkarten erfolgen, die sich im Besitz des Drittstaatsangehörigen befinden. Sofern in den nationalen Rechtsvorschriften vorgesehen, können auch Verpflichtungserklärungen und - im Falle des Aufenthalts eines Drittstaatsangehörigen bei einem Gastgeber - Bürgschaften von Gastgebern im Sinne des nationalen Rechts Nachweise für das Vorhandensein ausreichender Mittel zur Bestreitung des Lebensunterhalts darstellen (vgl. Art. 5 Abs. 3 SGK). Mithin können auch Gastgeber die erforderlichen finanziellen Mittel zur Verfügung stellen, sofern dies das nationale Recht vorsieht. Das schweizerische Ausländerrecht enthält entsprechende Vorschriften.</w:t>
      </w:r>
    </w:p>
    <w:p>
      <w:r>
        <w:rPr>
          <w:b/>
        </w:rPr>
        <w:t>E. 5.3</w:t>
      </w:r>
    </w:p>
    <w:p>
      <w:r>
        <w:t>Auch das AuG setzt in Art. 5 Abs. 1 Bst. b für eine Einreise in die Schweiz ganz allgemein voraus, dass Ausländerinnen und Ausländer die für einen Aufenthalt notwendigen finanziellen Mittel besitzen. Gemäss Art. 2 Abs. 2 VEV gelten finanzielle Mittel im Sinne von Art. 5 Abs. 1 Bst. c SGK insbesondere dann als ausreichend, wenn sichergestellt ist, dass während des Aufenthalts hierzulande keine Sozialhilfeleistungen bezogen werden.</w:t>
      </w:r>
    </w:p>
    <w:p>
      <w:r>
        <w:rPr>
          <w:b/>
        </w:rPr>
        <w:t>E. 5.4</w:t>
      </w:r>
    </w:p>
    <w:p>
      <w:r>
        <w:t>Wie eben erwähnt, kann der Nachweis ausreichender finanzieller Mittel mit Bargeld oder Bankguthaben, mit einer Verpflichtungserklärung, einer Reisekrankenversicherung oder einer anderen Sicherheit erbracht werden (Art. 2 Abs. 2 VEV). Die zuständigen Bewilligungsbehörden haben die Möglichkeit, eine Verpflichtungserklärung einer zahlungsfähigen natürlichen oder juristischen Person mit Wohnsitz oder Sitz in der Schweiz zu verlangen (vgl. Art. 7 Abs. 1 VEV). Eine solche Erklärung umfasst gemäss Art. 8 Abs. 1 VEV ungedeckte Kosten für den Lebensunterhalt, einschliesslich Unfall und Krankheit, sowie für die Rückreise, die dem Gemeinwesen oder einem privaten Erbringer von medizinischen Dienstleistungen durch den Aufenthalt des Ausländers in der Schweiz entstehen. Die Verpflichtungserklärung ist unwiderruflich. In der Schweiz beträgt die Garantiesumme für Einzelpersonen sowie Familien Fr. 30'000.- (Art. 8 Abs. 2 und 5 VEV).</w:t>
      </w:r>
    </w:p>
    <w:p>
      <w:r>
        <w:rPr>
          <w:b/>
        </w:rPr>
        <w:t>E. 6.1</w:t>
      </w:r>
    </w:p>
    <w:p>
      <w:r>
        <w:t>Es gilt somit in erster Linie zu prüfen, ob die Vorinstanz zu Recht davon ausgehen durfte, dass die Beschwerdeführerin und die Gastgeber nicht über ausreichende finanzielle Mittel verfügen.</w:t>
      </w:r>
    </w:p>
    <w:p>
      <w:r>
        <w:rPr>
          <w:b/>
        </w:rPr>
        <w:t>E. 6.2</w:t>
      </w:r>
    </w:p>
    <w:p>
      <w:r>
        <w:t>Die Beschwerdeführerin kreuzte im Visumsantragsformular vom 11. Dezember 2012 an, dass die Reisekosten und die Lebenshaltungskosten während des Aufenthalts übernommen würden. Es kann, gestützt auf den Sachverhalt, von einer geplanten Kostenübernahme durch die Gastgeber ausgegangen werden. Diese hatten für die Beschwerdeführerin am 6. November 2012 bereits eine europäische Reiseversicherung abgeschlossen. Zudem hat der Gastgeber am 21. Januar 2013 eine Unterhaltsgarantie für die Beschwerdeführerin unterzeichnet. Damit kann davon ausgegangen werden, dass die Gastgeber sämtliche Kosten für den Aufenthalt übernehmen sollten. Wohl ist die Einschätzung der kantonalen Behörde zur Garantiefähigkeit der Beschwerdeführerin nicht in einer Weise bindend, als sie nicht durch gegenteilige Sachbeweise umgestossen werden könnte. Solche Dokumente sind, wie im Folgenden aufzuzeigen sein wird, allerdings keine vorgelegt worden.</w:t>
      </w:r>
    </w:p>
    <w:p>
      <w:r>
        <w:rPr>
          <w:b/>
        </w:rPr>
        <w:t>E. 6.3</w:t>
      </w:r>
    </w:p>
    <w:p>
      <w:r>
        <w:t>Die Einschätzung der kantonalen Migrationsbehörde fusst auf den Angaben der Wohnsitzgemeinde, wonach die Gastgeber auf Unterstützung durch die Sozialhilfe angewiesen seien. Die Gastgeber wurden am 3. Januar 2013 für Januar 2013 von der Sozialberatung der Gemeinde Köniz mit einem Betrag von Fr. 1'189.90 teilunterstützt. Zuvor waren bereits am 5. Dezember 2012 die Sozialhilfebeiträge für die Familie vom 1. Januar 2013 bis 31. Mai 2013 auf Fr. 899.30 verbindlich festgelegt worden. Die Gastgeber sind nicht im Betreibungsregister eingetragen, können aber auch kein Vermögen ausweisen. Dass sie sich zwischenzeitlich von der Sozialhilfe gelöst hätten, wird nicht geltend gemacht und ist daher auszuschliessen. Angesichts ihrer finanziellen Abhängigkeit sind sie nicht garantiefähig.</w:t>
      </w:r>
    </w:p>
    <w:p>
      <w:r>
        <w:rPr>
          <w:b/>
        </w:rPr>
        <w:t>E. 6.4</w:t>
      </w:r>
    </w:p>
    <w:p>
      <w:r>
        <w:t>Damit kann der Nachweis der erforderlichen finanziellen Mittel mit den sich in den Akten befindlichen Unterlagen nicht erbracht werden. Die Voraussetzungen für die Erteilung eines Besuchervisums im Sinne von Art. 5 SGK bzw. Art. 5 AuG sind damit nicht erfüllt.</w:t>
      </w:r>
    </w:p>
    <w:p>
      <w:r>
        <w:rPr>
          <w:b/>
        </w:rPr>
        <w:t>E. 6.5</w:t>
      </w:r>
    </w:p>
    <w:p>
      <w:r>
        <w:t>Da bereits in den finanziellen Verhältnissen der Gastgeber und der Beschwerdeführerin ein Einreisehindernis zu erblicken ist, erübrigt es sich, die sonstigen Voraussetzungen zur Erteilung eines einheitlichen Schengen-Visums (u.a. Aufenthaltszweck und gesicherte Wiederausreise) zu beurteilen.</w:t>
      </w:r>
    </w:p>
    <w:p>
      <w:r>
        <w:rPr>
          <w:b/>
        </w:rPr>
        <w:t>E. 7.1</w:t>
      </w:r>
    </w:p>
    <w:p>
      <w:r>
        <w:t>Zu prüfen bleibt, ob es allenfalls angezeigt wäre, aus humanitären Gründen ein Visum mit räumlich beschränkter Gültigkeit auszustellen (siehe E. 3.5 weiter vorne). Als mögliche Gründe gelten die Vorbringen der Gastgeber, wonach sich die Beteiligten seit mehreren Jahren nicht mehr gesehen hätten. Dem ist jedoch entgegenzuhalten, dass die Realisierung persönlicher Kontakte nicht nur in der Schweiz möglich ist. Die Gastgeber verfügen über ein gefestigtes Anwesenheitsrecht in der Schweiz. Dieser Aufenthaltsstatus ermöglicht es ihnen, uneingeschränkt Auslandreisen zu unternehmen.</w:t>
      </w:r>
    </w:p>
    <w:p>
      <w:r>
        <w:rPr>
          <w:b/>
        </w:rPr>
        <w:t>E. 7.2</w:t>
      </w:r>
    </w:p>
    <w:p>
      <w:r>
        <w:t>Zwar stellt der persönliche Kontakt zwischen der Beschwerdeführerin und den Gastgebern eine unter den Schutz von Art. 8 der Konvention vom 4. November 1950 zum Schutze der Menschenrechte und Grundfreiheiten (EMRK, SR 0.101) sowie Art. 13 Abs. 1 der Bundesverfassung der Schweizerischen Eidgenossenschaft vom 18. April 1999 (BV, SR 101) fallende familiäre Beziehung dar. Das vermag jedoch zu keinem anderen Resultat zu führen. Denn nur Beeinträchtigun­gen des Familienlebens von gewisser Mindestschwere stellen recht­fertigungsbedürftige Eingriffe in die genannten Garantien dar. Ob diese Mindestschwere im vorliegenden Fall erreicht wird, erscheint unter den gegebenen Umständen als fraglich. Doch auch wenn dem so sein sollte, handelte es sich nur um einen eher untergeordneten Eingriff in das Fami­lienleben, der durch die auf dem Spiel stehenden öffentlichen Interessen gerechtfertigt ist (Art. 8 Ziff. 2 EMRK und Art. 36 BV; vgl. Urteil des Bundesgerichts 2C_190/2011 vom 23. November 2011).</w:t>
      </w:r>
    </w:p>
    <w:p>
      <w:r>
        <w:rPr>
          <w:b/>
        </w:rPr>
        <w:t>E. 7.3</w:t>
      </w:r>
    </w:p>
    <w:p>
      <w:r>
        <w:t>Die geltend gemachten privaten Interessen rechtfertigen es somit nicht, ein Visum mit räumlich beschränkter Gültigkeit auszustellen.</w:t>
      </w:r>
    </w:p>
    <w:p>
      <w:r>
        <w:rPr>
          <w:b/>
        </w:rPr>
        <w:t>E. 8</w:t>
      </w:r>
    </w:p>
    <w:p>
      <w:r>
        <w:t>Aus vorstehenden Erwägungen folgt, dass die angefochtene Verfügung im Lichte von Art. 49 VwVG nicht zu beanstanden ist. Die Beschwerde ist daher abzuweisen.</w:t>
      </w:r>
    </w:p>
    <w:p>
      <w:r>
        <w:rPr>
          <w:b/>
        </w:rPr>
        <w:t>E. 9</w:t>
      </w:r>
    </w:p>
    <w:p>
      <w:r>
        <w:t>Entsprechend dem Ausgang des Verfahrens sind die Kosten der Beschwerdeführerin aufzuerlegen (vgl. Art. 63 Abs. 1 VwVG i.V.m. Art. 1 ff. des Reglements vom 21. Februar 2008 über die Kosten und Entschädigungen vor dem Bundesverwaltungsgericht [VGKE, SR 173.320.2]). Dispositiv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