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C-1150/2006 vom 14. Januar 2008</w:t>
      </w:r>
    </w:p>
    <w:p>
      <w:r>
        <w:t>Bundesverwaltungsgericht, 2008-01-14, FR</w:t>
      </w:r>
    </w:p>
    <w:p>
      <w:r>
        <w:rPr>
          <w:b/>
        </w:rPr>
        <w:t xml:space="preserve">Quelle: </w:t>
      </w:r>
      <w:r>
        <w:t>https://mcp.opencaselaw.ch/entscheid/bvger_C-1150_2006</w:t>
      </w:r>
    </w:p>
    <w:p>
      <w:r>
        <w:t>FR: TAF C-1150/2006 du 14 janvier 2008</w:t>
      </w:r>
    </w:p>
    <w:p>
      <w:r>
        <w:t>IT: TAF C-1150/2006 del 14 gennaio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de la loi fédérale du 20 septembre 1952 sur l'acquisition et la perte de la nationalité suisse (Loi sur la nationalité, LN, RS 141.0).</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X._______, qui est directement touché par la décision entreprise, a qualité pour recourir (art. 48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à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128 II 97 consid. 3a, 121 II 49 consid. 2b).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arrêt du Tribunal fédéral 5A.11/2003 du 31 juillet 2003 consid. 3.3.1; ATF 121 II précité).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128 II précité,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128 II précité; Jurisprudence des autorités administratives de la Confédération [JAAC] 67.104 et 67.103).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à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(cf. ATF 128 II 97 consid. 4a).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1C_294/2007 du 30 novembre 2007 consid. 3.3 et jurisprudence citée).</w:t>
      </w:r>
    </w:p>
    <w:p>
      <w:r>
        <w:rPr>
          <w:b/>
        </w:rPr>
        <w:t>E. 5</w:t>
      </w:r>
    </w:p>
    <w:p>
      <w:r>
        <w:t>A titre préliminaire, il sied de relever que les conditions formelles de l'annulation de la naturalisation facilitée prévues à l'art. 41 al. 1 LN sont réalisées. En effet, la naturalisation facilitée accordée le 26 juin 2000 à X._______ a été annulée par l'autorité inférieure, avec l'assentiment des autorités du canton d'origine, en date du 29 mars 2005, soit avant l'échéance du délai péremptoire de cinq ans prévu par la disposition précitée (cf. arrêts du Tribunal fédéral 5A.11/2002 du 23 août 2002 consid. 3 et 5A.3/2002 du 29 avril 2002 consid. 3).</w:t>
      </w:r>
    </w:p>
    <w:p>
      <w:r>
        <w:rPr>
          <w:b/>
        </w:rPr>
        <w:t>E. 6.1</w:t>
      </w:r>
    </w:p>
    <w:p>
      <w:r>
        <w:t>Il est dès lors nécessaire d'examiner si les présentes circonstances répondent aux conditions matérielles de l'annulation de la naturalisation facilitée issues du texte de la loi, de la volonté du législateur et de la jurisprudence développée en la matière.</w:t>
      </w:r>
    </w:p>
    <w:p>
      <w:r>
        <w:rPr>
          <w:b/>
        </w:rPr>
        <w:t>E. 6.2</w:t>
      </w:r>
    </w:p>
    <w:p>
      <w:r>
        <w:t>En l'espèce, il est constant que X._______ a entretenu une relation extra-conjugale avec Z._______, une ressortissante angolaise née le 12 septembre 1978. C._______ est né à Bienne le 16 mars 2001 du fruit de leur union. Le recourant a reconnu son fils le 27 décembre 2001. Si le Tribunal retient que la date de la conception est antérieure de neuf mois à la naissance, ce qui n'est pas contesté, il doit en déduire que l'intéressé a entretenu des relations adultérines avec Z._______ en juin 2000. A cette époque, la procédure de naturalisation introduite le 19 février 1999 touchait à sa fin, la décision octroyant à X._______ la nationalité helvétique ayant été prise par l'ODM le 26 juin 2000. Or, une relation hors mariage est manifestement incompatible avec l'exigence de vie conjugale voulue par l'art. 27 LN, à savoir, une communauté effective et stable, orientée vers l'avenir et fondée sur l'assistance et la fidélité mutuelle (cf. également arrêt du Tribunal administratif fédéral C-1173/2006 du 24 mai 2007 consid. 8.2).</w:t>
      </w:r>
    </w:p>
    <w:p>
      <w:r>
        <w:rPr>
          <w:b/>
        </w:rPr>
        <w:t>E. 6.3</w:t>
      </w:r>
    </w:p>
    <w:p>
      <w:r>
        <w:t>La ligne de défense du recourant consiste à soutenir que dite infidélité s'est produite à une unique occasion et qu'elle a résulté d'un moment d'égarement que Y._______ n'était pas parvenue à lui pardonner. Il a allégué que "l'entente du couple était excellente tant au moment de la procédure de naturalisation qu'au moment de la décision de naturalisation" et que si un enfant adultérin n'était pas accidentellement venu au monde, il serait, selon toute vraisemblance, sans doute encore marié avec son ex-épouse. Ces explications n'emportent pas la conviction du Tribunal. Bien que Y._______ ait renoncé à être auditionnée par le Service de l'état civil et des naturalisations du canton de Fribourg par craintes de représailles (cf. infra consid. 6.4), elle a été en mesure d'apporter un éclairage différent sur les causes de la désunion. Elle a ainsi relevé que déjà deux ans avant la naturalisation de X._______, l'entente conjugale au sein du couple était mauvaise et difficile. Elle s'était notamment opposée à ce que ce dernier fasse venir une connaissance pour s'occuper des enfants du couple, connaissance qui n'était autre que Z._______, avec laquelle le recourant entretenait une relation adultère depuis un certain temps (cf. lettre de dénonciation du 17 juin 2003). Ces déclarations apparaissent crédibles aux yeux du Tribunal. D'une part, elles donnent une explication plausible quant à la naissance de l'enfant C._______, qui découle moins d'un accident isolé, tel que le recourant le laisse supposer, que d'un comportement volage dans sa durée. D'autre part, elles s'insèrent parfaitement dans la chronologie de leur rupture: la relation extra-conjugale menée par le recourant n'a été que la partie la plus visible de la dégradation progressive des rapports conjugaux, qui a débuté durant la procédure de naturalisation pour se terminer en mai 2001 par la séparation du couple XY._______. Le recourant reconnaît que, conformément à l'expérience générale, il n'y a pas eu rupture immédiate du lien entre son ex-épouse et lui-même, mais que celle-ci n'a abouti qu'au terme d'un relativement long processus (cf. notamment arrêt du Tribunal fédéral 5A.25/2005 du 18 octobre 2005 consid. 3.1). Il omet pourtant de préciser qu'au moment où il a entamé les démarches en vue de l'obtention de sa naturalisation facilitée ou, à tout le moins, au moment où il a signé la déclaration concernant la communauté conjugale, les importantes difficultés que traversait son couple lui étaient connues. Il ne pouvait dès lors affirmer à l'autorité intimée vivre dans une union stable avec Y._______. Ce faisant, il a dissimulé des faits essentiels à l'ODM qui, s'il en avait été informé, ne lui aurait pas octroyé la naturalisation facilitée. Enfin, le Tribunal notera que X._______ a présenté sa demande de naturalisation facilitée avant l'échéance du délai de cinq ans prévu par l'art. 27 al. 1 let. a LN, ce qui tend à démontrer qu'il avait hâte d'obtenir la nationalité suisse.</w:t>
      </w:r>
    </w:p>
    <w:p>
      <w:r>
        <w:rPr>
          <w:b/>
        </w:rPr>
        <w:t>E. 6.4</w:t>
      </w:r>
    </w:p>
    <w:p>
      <w:r>
        <w:t>X._______ oppose deux arguments supplémentaires à l'ODM. Premièrement, il mentionne que ce n'est pas lui, mais son ex-épouse qui a pris la décision de vivre de manière séparée en mai 2001. C'est également Y._______ qui a introduit une procédure de divorce en date du 24 octobre 2001. Il importe toutefois peu que l'idée de se séparer, et finalement de divorcer, ne soit pas venue de lui mais de son épouse (arrêt du Tribunal fédéral 5A.31/2006 du 16 octobre 2006 consid. 2 in fine). Effectivement, que l'action en divorce ait été ouverte par l'un ou l'autre conjoint ne rend pas pour autant excusable la dissimulation, par le recourant, de l'instabilité de son mariage, question centrale pour l'issue de la présente cause. Ensuite, X._______ critique l'ODM, qui a statué sans avoir préalablement entendu son ex-épouse, alors que son témoignage était de nature à influer sur la décision entreprise. Or, l'IMES avait initialement prévu d'auditionner Y._______ (cf. courrier de l'IMES du 26 octobre 2004). Cet entretien n'a toutefois pas pu avoir lieu, son ex-épouse ayant refusé d'y participer. Elle s'en est brièvement expliqué par téléphone du 15 janvier 2005, faisant comprendre au Service de l'état civil et des naturalisations du canton de Fribourg "qu'elle avait reçu de M. X._______ une «visite de courtoisie» et qu'elle avait fait l'objet de pressions, alléguant qu'elle avait deux enfants et qu'elle ne voulait pas avoir de problèmes". Là encore, le Tribunal ne voit aucune raison de douter de la bonne foi de son ex-épouse, d'autant que les craintes dont elle fait part étaient bien compréhensibles, X._______ s'étant, quelques mois auparavant, violemment disputé avec Z._______, au point que les protagonistes en étaient venus aux mains (cf. ordonnance de renvoi et de non-lieu du juge d'instruction du canton de Fribourg du 28 février 2005 ch. I. 2.). X._______ s'était également illustré, en juillet 2004, par un comportement brutal à l'encontre d'agents de police à l'occasion d'une interpellation pour excès de vitesse (cf. jugement par défaut du 24 avril 2006 du Tribunal pénal de l'arrondissement de la Sarine). Aussi, c'est en raison de l'attitude du recourant et de ses intimidations que les propos de son ex-épouse n'ont pas pu être recueillis au niveau de la première instance. Il est donc particulièrement mal venu de sa part d'en faire le reproche à l'ODM. Pour le surplus, le Tribunal est d'avis que, par une appréciation anticipée des preuves, il dispose de suffisamment d'éléments pour trancher la question litigieuse sans avoir à entendre Y._______ au stade du recours (cf. ATF 130 II 425 consid. 2.1 p. 429, 119 Ib 492 consid. 5b/bb p. 505/506). En conséquence, la requête déposée en ce sens doit être écartée.</w:t>
      </w:r>
    </w:p>
    <w:p>
      <w:r>
        <w:rPr>
          <w:b/>
        </w:rPr>
        <w:t>E. 7</w:t>
      </w:r>
    </w:p>
    <w:p>
      <w:r>
        <w:t>Au vu des considérations qui précèdent, force est de conclure que l'ODM a été induit en erreur par X._______ quant à la qualité de son union avec son ex-épouse et que cet Office était fondé, par sa décision du 29 mars 2005, à procéder à l'annulation de sa naturalisation facilitée conformément à l'art. 41 LN. Partant, le recours est rejeté.</w:t>
      </w:r>
    </w:p>
    <w:p>
      <w:r>
        <w:rPr>
          <w:b/>
        </w:rPr>
        <w:t>E. 8</w:t>
      </w:r>
    </w:p>
    <w:p>
      <w:r>
        <w:t>Le recourant ayant été mis au bénéfice de l'assistance judiciaire par décision incidente du DFJP du 17 juin 2005, il n'est pas perçu de frais de procédure (art. 65 al. 1 PA). Son mandataire ayant été désigné comme avocat d'office, il y a lieu de lui allouer une indemnité pour ses frais de représentation (cf. art. 65 al. 3 PA et art. 9, 10, 12 et 14 du règlement concernant les frais, dépens et indemnités fixés par le Tribunal administratif fédéral [FITAF, RS 173.320.2]). Le recourant a l'obligation de rembourser ce montant s'il revient à meilleure fortune, conformément à l'art. 65 al. 4 PA. Tenant compte de l'ensemble des circonstances du cas, le TAF estime, au regard des art. 8 et ss FITAF, que le versement d'une indemnité à titre d'honoraires s'élevant à Fr. 1'300.--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