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C-1144/2023 vom 29. September 2023</w:t>
      </w:r>
    </w:p>
    <w:p>
      <w:r>
        <w:t>Bundesverwaltungsgericht, 2023-09-29, DE</w:t>
      </w:r>
    </w:p>
    <w:p>
      <w:r>
        <w:rPr>
          <w:b/>
        </w:rPr>
        <w:t xml:space="preserve">Quelle: </w:t>
      </w:r>
      <w:r>
        <w:t>https://mcp.opencaselaw.ch/entscheid/bvger_C-1144_2023</w:t>
      </w:r>
    </w:p>
    <w:p>
      <w:r>
        <w:t>FR: TAF C-1144/2023 du 29 septembre 2023</w:t>
      </w:r>
    </w:p>
    <w:p>
      <w:r>
        <w:t>IT: TAF C-1144/2023 del 29 settembre 2023</w:t>
      </w:r>
    </w:p>
    <w:p>
      <w:pPr>
        <w:pStyle w:val="Heading2"/>
      </w:pPr>
      <w:r>
        <w:t>Regeste</w:t>
      </w:r>
    </w:p>
    <w:p>
      <w:r>
        <w:t>Aufsichtsmittel</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werden keine Parteientschädigungen zugesprochen.</w:t>
      </w:r>
    </w:p>
    <w:p>
      <w:r>
        <w:rPr>
          <w:b/>
        </w:rPr>
        <w:t>E. 4</w:t>
      </w:r>
    </w:p>
    <w:p>
      <w:r>
        <w:t>Dieses Urteil geht an den Beschwerdeführer, die Beschwerdegegnerin, die Vorinstanz, die OAK BV und das BSV. Für die Rechtsmittelbelehrung wird auf die nächste Seite verwiesen. Die Einzelrichterin: Die Gerichtsschreiberin: Viktoria Helfenstein Patrizia Levante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