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C-1140/2008 vom 15. April 2009</w:t>
      </w:r>
    </w:p>
    <w:p>
      <w:r>
        <w:t>Bundesverwaltungsgericht, 2009-04-15, FR</w:t>
      </w:r>
    </w:p>
    <w:p>
      <w:r>
        <w:rPr>
          <w:b/>
        </w:rPr>
        <w:t xml:space="preserve">Quelle: </w:t>
      </w:r>
      <w:r>
        <w:t>https://mcp.opencaselaw.ch/entscheid/bvger_C-1140_2008</w:t>
      </w:r>
    </w:p>
    <w:p>
      <w:r>
        <w:t>FR: TAF C-1140/2008 du 15 avril 2009</w:t>
      </w:r>
    </w:p>
    <w:p>
      <w:r>
        <w:t>IT: TAF C-1140/2008 del 15 aprile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Le recourant a qualité pour recourir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la police des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in FF 2002 3531; voir également ATF 133 I 185 consid. 2.3).</w:t>
      </w:r>
    </w:p>
    <w:p>
      <w:r>
        <w:rPr>
          <w:b/>
        </w:rPr>
        <w:t>E. 4</w:t>
      </w:r>
    </w:p>
    <w:p>
      <w:r>
        <w:t>Le 1er janvier 2008 sont entrées en vigueur la loi fédérale du 16 décembre 2005 sur les étrangers (LEtr, RS 142.20) et les ordonnances d'exécution y relatives (notamment l'ordonnance du 24 octobre 2007 sur la procédure d'entrée et de visas [OPEV, RO 2007 5537]). Dès lors que la demande qui est l'objet de la présente procédure de recours a été déposée avant l'entrée en vigueur de la LEtr, l'ancien droit (matériel) devrait être applicable à la présente cause, conformément à la réglementation transitoire de l'art. 126 al. 1 LEtr. Il s'impose toutefois de souligner ici que, lors de la votation du 5 juin 2005, le peuple suisse a accepté l'arrêté fédéral du 17 décembre 2004 portant approbation et mise en ?uvre des accords bilatéraux d'association à l'Espace Schengen et à l'Espace Dublin (RS 362) et que les accords d'association correspondants (au nombre desquels figure l'Accord du 26 octobre 2004 entre la Confédération suisse, l'Union européenne et la Communauté européenne sur l'association de la Confédération suisse à la mise en ?uvre, à l'application et au développement de l'acquis de Schengen [RS 0.360.268.1]) sont entrés en vigueur pour la Suisse le 12 décembre 2008. Ainsi, depuis cette dernière date, la Suisse est tenue d'appliquer l'acquis repris de Schengen et de le transposer dans son droit national, notamment pour ce qui est des dispositions sur la politique commune de délivrance des visas, telles que contenues dans les divers actes juridiques de l'Union européenne. En vue de la mise en oeuvre des accords d'association à Schengen, le législateur a donc dû procéder à des adaptations correspondantes dans la LEtr (cf. en particulier art. 2 al. 4 LEtr, selon lequel les dispositions sur la procédure en matière de visa ainsi que sur l'entrée en Suisse et la sortie de Suisse ne s'appliquent que dans la mesure où les accords d'association à Schengen ne contiennent pas de dispositions divergentes). En outre, la reprise de l'acquis de Schengen a nécessité une révision complète de l'OPEV, qui a été remplacée par l'ordonnance du 22 octobre 2008 sur l'entrée et l'octroi de visas (OEV, RS 142.204). Selon l'art. 57 OEV, le nouveau droit s'applique aux procédures pendantes à la date de l'entrée en vigueur de l'OEV. Cela signifie que la Suisse, en vertu de ses obligations de droit international, est tenue, malgré la disposition transitoire de l'art. 126 al. 1 LEtr, d'appliquer aux procédures pendantes au 12 décembre 2008 le nouveau droit (cf. arrêt du TAF C-204/2008 du 5 mars 2009 consid. 4; sur la question de la prééminence du droit international, ATF 131 II 352 consid. 1.3.1, 119 V 171 consid. 4, ainsi que jurisprudence et doctrine citées; Rainer J. Schweizer, Zur Einleitung: Das Bundesverwaltungsgericht im System der öffentlich-rechtlichen Rechtspflege des Bundes, in: Bernhard Ehrenzeller/Rainer J. Schweizer (Hrsg.), Le Tribunal administratif fédéral: Statut et missions, St-Gall 2008, p. 24).</w:t>
      </w:r>
    </w:p>
    <w:p>
      <w:r>
        <w:rPr>
          <w:b/>
        </w:rPr>
        <w:t>E. 5.1</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L'art. 5 par. 1 du code frontières Schengen définit les conditions d'entrée pour les ressortissants de pays tiers. Ceux-là doivent être en possession d'un document ou de documents de voyage en cours de validité permettant le franchissement de la frontière et - s'ils sont soumis à l'obligation du visa - être en possession d'un visa en cours de validité (let. a et b). Ils doivent justifier l'objet et les conditions du séjour envisagé, et disposer des moyens de subsistance suffisants (let. c). En outre, ils ne doivent pas être signalés aux fins de non-admission dans le Système d'information Schengen (SIS) et ne pas être considérés comme constituant une menace pour l'ordre public, la sécurité intérieure, la santé publique ou les relations internationales de l'un des Etats membres (let. d et e).</w:t>
      </w:r>
    </w:p>
    <w:p>
      <w:r>
        <w:rPr>
          <w:b/>
        </w:rPr>
        <w:t>E. 5.2</w:t>
      </w:r>
    </w:p>
    <w:p>
      <w:r>
        <w:t>Les conditions d'entrée prévues par le code frontières Schengen correspondent, pour l'essentiel, à celles posées à l'art. 5 al. 1 let. a à d LEtr. L'obligation faite à l'étranger de justifier l'objet et les conditions du séjour envisagé, telle que contenue à l'art. 5 par. 1 let. c du code frontières Schengen, n'est pas explicitement mentionnée à l'art. 5 al. 1 LEtr. L'art. 5 al. 2 LEtr exige en revanche de l'étranger qui prévoit un séjour temporaire en Suisse d'apporter la garantie qu'il quittera ce pays. Cette condition, ancrée dans le droit national, ne constitue toutefois pas une exigence supplémentaire et n'entre pas en contradiction avec le code frontières Schengen. En effet, l'indication de l'objet du séjour temporaire envisagé constitue de fait une déclaration d'intention de quitter le pays une fois le but de ce séjour atteint. Partant, en cas d'indications contradictoires ou invraisemblables sur l'objet du séjour, il y aura lieu de conclure que le requérant n'est pas disposé à quitter l'Espace Schengen à l'échéance du séjour projeté. C'est dans ce sens également que vont les Instructions consulaires communes du 22 décembre 2005 adressées aux représentations diplomatiques et consulaires de carrière (ICC, JO 2005 C 326 p. 1-149). Les ICC exigent en particulier que soit évalué le risque migratoire; il convient en ce sens d'examiner si le requérant cherche "à pénétrer et à s'établir dans le territoire des Etats membres sous le couvert de visa pour tourisme, affaires, études, travail ou visite à des parents" (C 326 p. 10). L'Annexe I du code frontières Schengen contient au surplus une liste non exhaustive des pièces justificatives nécessaires à démontrer l'objet et les conditions du séjour envisagé au sens de l'art. 5 par. 1 let. c du code précité.</w:t>
      </w:r>
    </w:p>
    <w:p>
      <w:r>
        <w:rPr>
          <w:b/>
        </w:rPr>
        <w:t>E. 5.3</w:t>
      </w:r>
    </w:p>
    <w:p>
      <w:r>
        <w:t>Au vu des considérations qui précèdent, l'examen de l'objet et des conditions du séjour envisagé au sens de l'art. 5 par. 1 let. c du code frontières Schengen correspond à l'examen de la garantie de sortie de Suisse au sens de l'art. 5 al. 2 LEtr. Aussi la pratique et la jurisprudence appliquées à cette dernière disposition peuvent-elles être reprises.</w:t>
      </w:r>
    </w:p>
    <w:p>
      <w:r>
        <w:rPr>
          <w:b/>
        </w:rPr>
        <w:t>E. 6</w:t>
      </w:r>
    </w:p>
    <w:p>
      <w:r>
        <w:t>L'exigence des moyens de subsistance suffisants posée à l'art. 5 par. 1 let. c du code frontières Schengen y est définie à l'art. 5 par. 3, lequel dispose que l'appréciation des moyens de subsistance peut se fonder sur la possession d'argent liquide, de chèques de voyage et de cartes de crédit; de même, lorsqu'elles sont prévues par le droit national, les déclarations de prise en charge et les lettres de garantie peuvent aussi constituer une preuve de moyens de subsistance suffisants. Le droit suisse des étrangers prévoit expressément de telles garanties aux art. 2 al. 2 et 7 à 11 OEV. Enfin, en référence à l'art. 5 du code frontières Schengen, les ICC définissent quels justificatifs sont propres à démontrer l'existence de moyens financiers suffisants (C 326 p. 11).</w:t>
      </w:r>
    </w:p>
    <w:p>
      <w:r>
        <w:rPr>
          <w:b/>
        </w:rPr>
        <w:t>E. 7</w:t>
      </w:r>
    </w:p>
    <w:p>
      <w:r>
        <w:t>Le Règlement (CE) no 539/2001 du Conseil du 15 mars 2001 (JO L 81 du 21 mars 2001, p. 1-7) différencie, en son art. 1 par. 1 et 2, les ressortissants des Etats tiers selon qu'ils sont soumis ou non à l'obligation du visa. L'Annexe I du règlement énumère ainsi les pays dont les ressortissants doivent être munis d'un visa pour le franchissement des frontières extérieures des Etats membres de l'Espace Schengen, alors que l'Annexe II énumère les pays dont les ressortissants sont exemptés de cette obligation. En tant que ressortissante de Turquie, B._______ est soumise à l'obligation du visa.</w:t>
      </w:r>
    </w:p>
    <w:p>
      <w:r>
        <w:rPr>
          <w:b/>
        </w:rPr>
        <w:t>E. 8.1</w:t>
      </w:r>
    </w:p>
    <w:p>
      <w:r>
        <w:t>Dans la décision attaquée, l'ODM a refusé d'autoriser la prénommée à entrer en Suisse, au motif que sa sortie de ce pays au terme de son séjour ne pouvait pas être considérée comme suffisamment garantie. Il convient par conséquent d'examiner l'objet et les conditions du séjour envisagé, au sens de l'art. 5 par. 1 let. c du code frontières Schengen, afin de déterminer si l'intéressée est disposée à quitter l'Espace Schengen à l'échéance de son séjour ou s'il apparaît, au contraire, qu'elle cherche à pénétrer et à s'établir dans le territoire des Etats membres sous le couvert d'un visa pour visite familiale.</w:t>
      </w:r>
    </w:p>
    <w:p>
      <w:r>
        <w:rPr>
          <w:b/>
        </w:rPr>
        <w:t>E. 8.2</w:t>
      </w:r>
    </w:p>
    <w:p>
      <w:r>
        <w:t>Il est à noter que lorsque l'autorité examine si l'étranger présente les garanties nécessaires en vue d'une sortie de l'Espace Schengen à l'échéance du séjour envisagé, elle ne peut le faire que, d'une part, sur la base d'indices fondés sur la situation personnelle, familiale ou professionnelle de l'étranger, d'autre part, sur une évaluation du comportement de l'étranger, une fois arrivé dans l'Espace Schengen, compte tenu des prémisses précitées. On ne saurait donc reprocher à l'autorité de prendre une décision contraire à la loi lorsque dite autorité se base sur les indices et l'évaluation précités pour appliquer l'article précité.</w:t>
      </w:r>
    </w:p>
    <w:p>
      <w:r>
        <w:rPr>
          <w:b/>
        </w:rPr>
        <w:t>E. 8.3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peu favorable puisse influencer le comportement de la personne intéressée.</w:t>
      </w:r>
    </w:p>
    <w:p>
      <w:r>
        <w:rPr>
          <w:b/>
        </w:rPr>
        <w:t>E. 8.4</w:t>
      </w:r>
    </w:p>
    <w:p>
      <w:r>
        <w:t>A ce sujet, il faut prendre en considération la qualité de vie et les conditions économiques et sociales difficiles que connaît l'ensemble de la population de Turquie, pays dont le PIB par habitant s'élève à 9'600 USD (source: site internet du Département fédéral des affaires étrangères : www.eda.admin.ch &gt; Représentations &gt; Europe &lt; Turquie &gt; La République turque en bref; mise à jour: 17 avril 2008). Dès lors, ces conditions économiques particulières ne sont pas sans exercer une pression migratoire importante, cette tendance étant encore renforcée, comme l'expérience l'a démontré, lorsque la personne concernée peut s'appuyer à l'étranger sur un réseau social (parents, amis) préexistant.</w:t>
      </w:r>
    </w:p>
    <w:p>
      <w:r>
        <w:rPr>
          <w:b/>
        </w:rPr>
        <w:t>E. 8.5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9</w:t>
      </w:r>
    </w:p>
    <w:p>
      <w:r>
        <w:t>En l'espèce, séparée et femme au foyer, B._______ serait à même d'envisager sans grandes difficultés une nouvelle existence hors de sa patrie, en particulier en Suisse, où résident, en tout cas, la plupart de ses enfants et petits-enfants, dès lors qu'elle n'a ni charges de famille, ni attaches professionnelles, ni perspectives économiques propres à l'inciter à retourner en Turquie après son éventuelle venue sur territoire helvétique, d'autant qu'elle y a déjà vécu durant 12 ans et demi dans le cadre du regroupement familial, avant de faire l'objet d'une expulsion, respectivement d'une décision d'interdiction d'entrée dans ce pays d'une durée de deux ans, suite à la situation financière catastrophique de son époux. Dans ces circonstances, les risques de voir la prénommée prolonger son séjour sur territoire helvétique sont particulièrement élevés. Cette crainte apparaît d'autant plus fondée que, par courrier adressé au SpoMi en date du 11 avril 2005, soit seulement un mois après le départ de Suisse de leur mère, les enfants de B._______ avaient fait part de leur souhait de faire revenir cette dernière auprès d'eux, tout en expliquant notamment que celle-ci avait été obligée de suivre leur père dans leur patrie. Aussi, la sortie de Suisse de l'invitée à l'échéance du visa sollicité n'est manifestement pas garantie. Il sied par ailleurs de constater que l'intéressée, vu son âge (64 ans), appartient à une catégorie de population susceptible de nécessiter, à tout moment, des soins médicaux, parfois importants. Dans ces conditions, il ne peut être exclu qu'une fois en Suisse, elle ne soit légitimement tentée de prolonger son séjour dans ce pays, afin d'y bénéficier d'un système médical et sanitaire plus performant que celui de son pays d'origine, ces craintes se trouvant renforcées par le fait que la requérante bénéficierait en Suisse d'un environnement stable, aux côtés de ses enfants. Au vu de ce qui précède, la question de savoir si B._______ disposerait des moyens suffisants pour subvenir à ses besoins pendant son séjour sur territoire helvétique peut rester indécise, étant précisé qu'il existe un sérieux doute à cet égard, dans la mesure où le recourant a sollicité l'assistance judiciaire dans le cadre de la présente procédure. Au demeurant, il convient de relever qu'un refus d'autorisation d'entrée en Suisse prononcé à l'encontre de la prénommée ne porte pas atteinte au droit au respect de la vie privée et familiale consacré par l'art. 8 CEDH et par l'art. 13 de la Constitution fédérale de la Confédération suisse du 18 avril 1999 (Cst., RS 101), norme constitutionnelle qui ne confère pas des droits plus étendus en matière de police des étrangers que ceux qui sont garantis par la norme conventionnelle précitée (cf. ATF 130 II 281 consid. 3 p. 284ss ; ATAF 2007/45 consid. 5.3 p. 591s., et la jurisprudence citée), contrairement à ce que soutient implicitement le recourant. En effet, les dispositions précitées visent principalement à protéger les relations existant entre époux et entre parents en ligne directe (en particulier, entre « époux » et « parents et enfants mineurs ») et les personnes qui ne font pas partie de ce noyau familial ne peuvent s'en prévaloir qu'à des conditions très restrictives (telles une maladie grave, par exemple ; cf. ATF 129 II 11 consid. 2 p. 13 ; ATAF 2007/45 précité, et la jurisprudence citée), non réalisées en l'espèce. En outre, ces dispositions ne confèrent pas un droit d'entrer (respectivement de réaliser sa vie familiale) dans un pays donné (cf. ATF 130 II 281 consid. 3.1 p. 285s., et réf. cit.; cf. STEPHAN BREITENMOSER, in: Ehrenzeller / Mastronardi / Schweizer / Vallender, Die schweizerische Bundesverfassung, Kommentar, Zurich/Bâle/Genève 2002, ad art. 13 Cst., n. 25 ; ARTHUR HAEFLIGER/FRANK SCHÜRMANN, Die Europäische Menschenrechtskonvention und die Schweiz, Die Bedeutung der Konvention für die schweizerische Rechtspraxis, Berne 1999, p. 261). En principe, une violation de ces normes ne peut donc être admise que si les membres d'une même famille n'ont - durablement ou, à tout le moins, pendant une période prolongée - aucune possibilité de se rencontrer dans un pays autre que la Suisse. En l'occurrence, rien ne permet de penser que l'invitant et les siens se trouveraient durablement (pour des motifs médicaux, par exemple) dans l'impossibilité de rencontrer l'invitée ailleurs qu'en Suisse (notamment en Turquie), nonobstant les inconvénients d'ordre pratique ou financier que cela pourrait engendrer. En effet, le recourant n'allègue pas qu'un refus d'autorisation d'entrée prononcé in casu par les autorités helvétiques aurait pour conséquence d'empêcher le maintien des relations familiales. Au surplus, les assurances données quant à l'accueil et à la prise en charge des frais de séjour en Suisse ne sont, en tant que telles, pas de nature à empêcher un ressortissant étranger, une fois sur le territoire helvétique, d'entreprendre des démarches administratives en vue d'y prolonger son séjour (cf. notamment arrêt du Tribunal administratif fédéral C-2017/2008 du 19 novembre 2008 p. 10 et jurisprudence citée). L'expérience a en effet démontré à de nombreuses reprises que les déclarations d'intention formulées quant à la sortie ponctuelle de la personne invitée à l'échéance du visa, de même que les garanties financières offertes par l'hôte, ne suffisaient pas non plus à garantir le départ d'un ressortissant étranger dans les délais prévus, ces dernières n'emportant aucun effet juridique (cf. Jurisprudence des autorités administratives de la Confédération [JAAC] 57.24, jurisprudence confirmée à de nombreuses reprises, en particulier dans l'arrêt du Tribunal administratif fédéral C-6779/2007 du 25 août 2008 consid. 5.2). A ce propos, il sied de souligner que le refus d'une autorisation d'entrée ne remet nullement en cause la bonne foi des personnes qui, résidant régulièrement en Suisse, ont invité un tiers domicilié à l'étranger pour un séjour touristique. Même s'il peut à première vue paraître sévère de refuser à une personne l'autorisation d'entrée dans un pays où séjournent des membres de sa parenté, cette situation ne diffère pas de celle de très nombreux autres étrangers désireux de se rendre en Suisse pour divers motifs. Au vu de l'ensemble des circonstances exposées ci-dessus, le TAF estime qu'il ne saurait être reproché à l'ODM d'avoir considéré que la sortie de B._______ de Suisse à l'échéance du visa requis n'était pas suffisamment assurée et, partant, d'avoir refusé la délivrance d'une autorisation d'entrée en sa faveur.</w:t>
      </w:r>
    </w:p>
    <w:p>
      <w:r>
        <w:rPr>
          <w:b/>
        </w:rPr>
        <w:t>E. 10</w:t>
      </w:r>
    </w:p>
    <w:p>
      <w:r>
        <w:t>Il ressort de ce qui précède que la décision de l'ODM du 29 janvier 2008 est conforme au droit. En conséquence, le recours est rejeté.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