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C-113/2009 vom 6. September 2011</w:t>
      </w:r>
    </w:p>
    <w:p>
      <w:r>
        <w:t>Bundesverwaltungsgericht, 2011-09-06, IT</w:t>
      </w:r>
    </w:p>
    <w:p>
      <w:r>
        <w:rPr>
          <w:b/>
        </w:rPr>
        <w:t xml:space="preserve">Quelle: </w:t>
      </w:r>
      <w:r>
        <w:t>https://mcp.opencaselaw.ch/entscheid/bvger_C-113_2009</w:t>
      </w:r>
    </w:p>
    <w:p>
      <w:r>
        <w:t>FR: TAF C-113/2009 du 6 septembre 2011</w:t>
      </w:r>
    </w:p>
    <w:p>
      <w:r>
        <w:t>IT: TAF C-113/2009 del 6 settembre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16 dicembre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C-1324/2009 del 7 febbraio 2011 consid. 3.2). Pertanto, e salvo indicazione contraria, di seguito è fatto riferimento alle norme in vigore fino al 31 dicembre 2007.</w:t>
      </w:r>
    </w:p>
    <w:p>
      <w:r>
        <w:rPr>
          <w:b/>
        </w:rPr>
        <w:t>E. 3.3</w:t>
      </w:r>
    </w:p>
    <w:p>
      <w:r>
        <w:t>La ricorrente, come già menzionato, ha presentato la richiesta di rendita il 20 dicembre 2007.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20 dicembre 2006 (ossia 12 mesi precedenti la presentazione della domanda), oppure se un diritto alla rendita sia sorto tra tale data e il 19 novembre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Nel gravame la ricorrente rimprovera all'autorità inferiore di non avere sufficientemente motivato la decisione impugnata. La censura non appare del tutto priva di fondamento ove solo si rilevi che né nel progetto di decisione del 19 settembre 2008 né nella decisione del 19 novembre 2008 l'UAIE ha spiegato in modo sufficientemente preciso perché, malgrado il danno alla salute, l'esercizio di un'attività lavorativa è sempre esigibile in maniera sufficiente per escludere il diritto ad una rendita. Dagli atti di causa non risulta altresì che l'autorità inferiore abbia trasmesso alla ricorrente le prese di posizione del 12 settembre ed 8 novembre 2008 del servizio medico dell'UAIE (doc. 20 e 26). Al riguardo può essere osservato che non appare ipotizzabile di potere ricorrere con criteri adeguati senza avere almeno conoscenza del contenuto essenziale dei menzionati documenti. A ciò si aggiunga che l'UAIE, rinunciando nel caso di specie a presentare una risposta al ricorso, non ha ovviato neppure in procedura ricorsuale alla lacuna informativa della ricorrente concernente i documenti di cui trattasi. Sennonché, la ricorrente, rappresentata da mandatario professionale, ha ottenuto da questo Tribunale in sede ricorsuale di potere prendere visione dell'incarto di causa dell'autorità inferiore (doc. TAF 5 e 6). Peraltro, alla ricorrente è stata concessa la facoltà - sempre in sede di ricorso e dinanzi ad un'autorità, il Tribunale amministrativo federale, che gode di piena cognizione - di pronunciarsi sul caso in esame dopo avere preso visione dell'integralità degli atti di causa, segnatamente dei rapporti del servizio medico dell'UAIE di settembre e novembre 2008, facoltà di cui l'insorgente non ha però fatto uso, con la conseguenza che la violazione del diritto di essere sentito della ricorrente deve considerarsi siccome sanata in questa sede. In effetti, conto tenuto dell'insieme delle menzionate circostanze, un annullamento della decisione impugnata e un rinvio degli atti di causa all'amministrazione per carente motivazione della decisione litigiosa costituirebbe in ogni caso una vana formalità, la ricorrente avendo rinunciato a presentare delle osservazioni dopo avere potuto prendere visione dell'integralità dell'incarto in sede di ricorso, integralità dell'incarto che consente senza ombra di dubbio di comprendere sufficientemente le ragioni che hanno spinto l'autorità inferiore a rendere la decisione litigiosa.</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all'AVS/AI svizzera o ad un'assicurazione sociale assimilata (FF 2005 p. 4065; art. 45 del regolamento 1408/71) di uno Stato membro dell'Unione europea (UE) o dell'Associazione europea di libero scambio (AELS), durante un anno intero, rispettivamente, a partire dal 1° gennaio 2008, durante tre anni (art. 36 cpv. 1 LAI), ferma restando la necessità di un periodo contributivo minimo in Svizzera di un anno (art. 36 cpv. 2 LAI in combinazione con l'art. 29 cpv. 1 LAVS; cfr. DTF 130 V 335 consid. 3 e 4). La ricorrente ha versato contributi all'AVS/AI svizzera per più di 25 anni (doc. 30) e, pertanto, adempie la condizione della durata minima di contribuzione. Rimane ora da esaminare se sia invalida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10.2</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195).</w:t>
      </w:r>
    </w:p>
    <w:p>
      <w:r>
        <w:rPr>
          <w:b/>
        </w:rPr>
        <w:t>E. 10.3</w:t>
      </w:r>
    </w:p>
    <w:p>
      <w:r>
        <w:t>Nel caso di specie, l'UAIE ha ritenuto che da sana la ricorrente avrebbe consacrato la sua attività ad un'occupazione lucrativa a tempo pieno. L'insorgente non ha contestato in sede di ricorso questo accertamento dei fatti. Non sussiste altresì alcun motivo per un intervento d'ufficio da parte di questo Tribunale. Dalle carte processuali emerge in effetti che, nel novembre del 2006, la ricorrente ha interrotto l'attività lucrativa per motivi di salute (doc. 8). L'insorgente ha peraltro essa stessa indicato nel gravame del 24 dicembre 2008 che "si è ritirata dal lavoro per motivi di salute" (doc. TAF 1).</w:t>
      </w:r>
    </w:p>
    <w:p>
      <w:r>
        <w:rPr>
          <w:b/>
        </w:rPr>
        <w:t>E. 11.1</w:t>
      </w:r>
    </w:p>
    <w:p>
      <w:r>
        <w:t>Dalla documentazione medica agli atti appare che la ricorrente soffre segnatamente di lombalgia da ernia del disco L4-L5 ed L5-S1, spondilosi cervicale, emicrania, cardiopatia ipertensiva e lieve ipertrofia ventricolare (cfr. perizia medica particolareggiata E 213 del 18 marzo 2008 [doc. 16] e presa di posizione del servizio medico dell'UAIE dell'8 novembre 2008 [doc. 26]).</w:t>
      </w:r>
    </w:p>
    <w:p>
      <w:r>
        <w:rPr>
          <w:b/>
        </w:rPr>
        <w:t>E. 11.2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12.1</w:t>
      </w:r>
    </w:p>
    <w:p>
      <w:r>
        <w:t>Occorre quindi determinare se la ricorrente ha subito nel periodo determinante (cfr. consid. 3.3 del presente giudizio), e senza interruzione notevole, un'incapacità lavorativa media di almeno il 40% durante un anno giusta l'art. 29 cpv. 1 lett. b LAI.</w:t>
      </w:r>
    </w:p>
    <w:p>
      <w:r>
        <w:rPr>
          <w:b/>
        </w:rPr>
        <w:t>E. 12.2</w:t>
      </w:r>
    </w:p>
    <w:p>
      <w:r>
        <w:t>L'UAIE ha respinto la domanda di rendita dell'assicurazione svizzera per l'invalidità fondandosi sulla valutazione del dott. C._______, medico dell'UAIE. Nei rapporti del 12 settembre ed 8 novembre 2008 (doc. 20 e 26), il dott. C._______ ha in particolare rilevato, sulla base della documentazione medica agli atti, che la ricorrente soffre di cervicalgia e lombalgia con limitazione della mobilità della colonna vertebrale e presenza di ernie discali, senza conflitto radicolare. Ha inoltre constatato che la medesima è affetta da cardiopatia ipertensiva e da lieve ipertrofia ventricolare. Tali disturbi non hanno comunque alcuna ripercussione sulla capacità lavorativa. Il dott. C._______ ha quindi concluso che l'insorgente presenta una completa capacità al lavoro, dunque del 100%.</w:t>
      </w:r>
    </w:p>
    <w:p>
      <w:r>
        <w:rPr>
          <w:b/>
        </w:rPr>
        <w:t>E. 12.3</w:t>
      </w:r>
    </w:p>
    <w:p>
      <w:r>
        <w:t>Questo Tribunale non ha motivo di scostarsi dal suddetto apprezzamento, ritenuto come lo stesso trovi fondamento anche nella perizia medica particolareggiata E 213 del 18 marzo 2008 (doc. 16). In effetti, il medico incaricato dell'esame ha indicato che l'insorgente è in grado di svolgere, e a tempo pieno, sia il suo ultimo lavoro sia un lavoro sostitutivo adeguato alle sue condizioni (doc. 16 pag. 9 n. 11.4 a 11.6). Nella perizia E 213 è stata certo evidenziata un'invalidità del 40%, nella precedente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e che il medico stesso dell'INSP si è distanziato da quanto ritenuto dalle autorità italiane sull'incapacità lavorativa.</w:t>
      </w:r>
    </w:p>
    <w:p>
      <w:r>
        <w:rPr>
          <w:b/>
        </w:rPr>
        <w:t>E. 12.4</w:t>
      </w:r>
    </w:p>
    <w:p>
      <w:r>
        <w:t>La ricorrente ha fatto valere, in sede di ricorso, di avere sicuramente diritto ad una prestazione dell'assicurazione svizzera per l'invalidità. Sennonché, agli atti di causa non figura alcun documento medico di data anteriore alla decisione impugnata che concluda ad un'incapacità dell'insorgente uguale o superiore al 40% nella sua precedente attività suscettibile di giustificare la concessione di una rendita d'invalidità svizzera. In particolare, nei certificati medici del 7 luglio e del 10 ottobre 2008 è invero indicato che la ricorrente è affetta, fra l'altro, da un'insufficienza venosa e da parestesie agli arti inferiori. Sennonché, e a prescindere dalle qualifiche dei medici che hanno redatto detti rapporti, in essi non è fatto riferimento all'incidenza delle citate patologie sulla capacità lavorativa della ricorrente e un'incapacità lavorativa significativa dal profilo dell'erogazione di una rendita d'invalidità svizzera non appare neppure supportata da sufficienti esami clinici obiettivi (v. pure presa di posizione del dott. C._______), non senza dimenticare che il referto di visita cardiaca del luglio 2008 (doc. 18) fa certo stato di ipertensione arteriosa, ma di un buon controllo dei valori pressori nonché di toni ritmici normofrequenti e ritmo sinusale nei limiti della norma. Per quanto attiene, al referto di visita neurologica del 12 novembre 2008 (doc. TAF 1), lo stesso si limita a riferire la già nota e precedentemente diagnosticata cefalea. In conclusione, l'insorgente non ha presentato argomenti o mezzi di prova suscettibili di far sorgere dei dubbi sulla valutazione del dott. C._______, fondata a sua volta sulla perizia medica particolareggiata E 213 del marzo 2008.</w:t>
      </w:r>
    </w:p>
    <w:p>
      <w:r>
        <w:rPr>
          <w:b/>
        </w:rPr>
        <w:t>E. 13</w:t>
      </w:r>
    </w:p>
    <w:p>
      <w:r>
        <w:t>Da quanto esposto, consegue che il ricorso, destituito di fondamento, non merita tutela e la decisione impugnata va confermata.</w:t>
      </w:r>
    </w:p>
    <w:p>
      <w:r>
        <w:rPr>
          <w:b/>
        </w:rPr>
        <w:t>E. 14.1</w:t>
      </w:r>
    </w:p>
    <w:p>
      <w:r>
        <w:t>In considerazione segnatamente di quanto ritenuto al considerando 4 del presente giudizio, si rinuncia del tutto eccezionalmente alla riscossione di spese processuali (art. 63 cpv. 1 PA in combinazione con l'art. 6 lett. b del regolamento sulle tasse e sulle spese ripetibili nelle cause dinanzi al Tribunale amministrativo federale del 21 febbraio 2008 [TS-TAF, RS 173.320.2]).</w:t>
      </w:r>
    </w:p>
    <w:p>
      <w:r>
        <w:rPr>
          <w:b/>
        </w:rPr>
        <w:t>E. 14.2</w:t>
      </w:r>
    </w:p>
    <w:p>
      <w:r>
        <w:t>Nonostante la soccombenza, alla ricorrente, assistita in questa sede da un mandatario professionale, e sempre per i motivi indicati al considerando 4 del presente giudizio, spetta tuttavia un'indennità per spese ripetibili della sede federale (art. 64 PA in combinazione con l'art. 7 cpv. 1 e 2 TS-TAF a contrario). Il Tribunale federale ha infatti già ammesso che nonostante gli art. 7 e segg. TS-TAF non prevedano di principio delle ripetibili a carico della parte vincente, il giudice può non di meno mettere determinate spese a carico dell'assicuratore sociale le cui conclusioni sono infine tutelate/ammesse, allorquando esso ha violato il suo obbligo d'istruire d'ufficio la causa (cfr. sentenza del Tribunale federale nella causa 9C_544/2007 del 28 aprile 2008 consid. 6). Conto tenuto delle circostanze particolari del caso di specie - l'autorità inferiore non avendo informato compiutamente la ricorrente degli accertamenti medici messi in atto, non avendo inoltre sufficientemente motivato né il progetto di decisione del 19 settembre 2008 né la decisione impugnata del 19 novembre 2008 e avendo infine pure rinunciato a prendere posizione sul ricorso inoltrato dalla ricorrente - questa Corte ritiene, in analogia alla succitata giurisprudenza del Tribunale federale ma anche per motivi di equità (cfr. Yves Donzallaz, Loi sur le Tribunal fédéral, 2008, ad art. 68 n. 1918 segg. nonché relativi riferimenti), giustificato di accordare alla ricorrente un'indennità ridotta di ripetibili di fr. 400.-- (sulla questione della concessione di ripetibili nonostante la soccombenza in caso di sanatoria in sede ricorsuale di una violazione del diritto di essere sentito, v. anche Michael Beusch, in: Auer/Müller/Schindler, Kommentar zum Bundesgesetz über das Verwaltungsverfahren, 2008, ad art. 64 nota n. 20 e relativi riferimenti).</w:t>
      </w:r>
    </w:p>
    <w:p>
      <w:r>
        <w:rPr>
          <w:b/>
        </w:rPr>
        <w:t>E. 14.3</w:t>
      </w:r>
    </w:p>
    <w:p>
      <w:r>
        <w:t>Le autorità federali, quand'anche vincenti, non hanno altresì di principio diritto ad un'indennità a titolo di spese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