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C-1139/2006 vom 20. März 2008</w:t>
      </w:r>
    </w:p>
    <w:p>
      <w:r>
        <w:t>Bundesverwaltungsgericht, 2008-03-20, DE</w:t>
      </w:r>
    </w:p>
    <w:p>
      <w:r>
        <w:rPr>
          <w:b/>
        </w:rPr>
        <w:t xml:space="preserve">Quelle: </w:t>
      </w:r>
      <w:r>
        <w:t>https://mcp.opencaselaw.ch/entscheid/bvger_C-1139_2006</w:t>
      </w:r>
    </w:p>
    <w:p>
      <w:r>
        <w:t>FR: TAF C-1139/2006 du 20 mars 2008</w:t>
      </w:r>
    </w:p>
    <w:p>
      <w:r>
        <w:t>IT: TAF C-1139/2006 del 20 marzo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Beim EJPD als einer der Vorgängerorganisationen des Bundesverwaltungsgerichts zum Zeitunkt des Inkrafttretens des Verwaltungsgerichtsgesetzes am 1. Januar 2007 noch hängige Beschwerdeverfahren in dieser Materie werden vom Bundesverwaltungsgericht übernommen. Die Beurteilung erfolgt nach Massgabe des neuen Verfahrensrechts (Art. 53 Abs. 2 VGG). Dieses verweist in Artikel 37 VGG auf das Bundesgesetz vom 20. Dezember 1968 über das Verwaltungsverfahren (VwVG, SR 172.021), soweit das Verwaltungsgerichtsgesetz keine abweichenden Bestimmungen aufstellt (vgl. auch Art. 2 Abs. 4 VwVG).</w:t>
      </w:r>
    </w:p>
    <w:p>
      <w:r>
        <w:rPr>
          <w:b/>
        </w:rPr>
        <w:t>E. 1.3</w:t>
      </w:r>
    </w:p>
    <w:p>
      <w:r>
        <w:t>Die Beschwerdeführerinnen sind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Die Beschwerdeführerinnen fordern gestützt auf Art. 6 Ziff. 1 EMRK die Durchführung einer öffentlichen Gerichtsverhandlung. Sie übersehen dabei allerdings, dass der sachliche Geltungsbereich des Art. 6 Abs. 1 EMRK auf Verfahren beschränkt ist, in denen zivilrechtliche Ansprüche bzw. strafrechtliche Anklagen zu beurteilen sind. Das vorliegende Verfahren, welches das Staatsbürgerrecht zum Gegenstand hat, gehört weder in die eine noch die andere Kategorie (vgl. Jochen Abraham Frowein/Wolfgang Peukert, Europäische Menschenrechtskonvention, EMRK-Kommentar, 2. Aufl., Kehl u.a., 1996, Rz. 52 zu Art. 6 bei N. 243; ferner Andreas Kley-Struller, Art. 6 EMRK als Rechtsschutzgarantie gegen die öffentliche Gewalt, Zürich 1993, S. 46 bei N. 1). Die Beschwerdeführerinnen können somit aus Art. 6 Abs. 1 EMRK nichts für das vorliegende Verfahren ableiten. Nur der Vollständigkeit halber sei darauf hingewiesen, dass sich damit auch der zwischenzeitlich gegenstandslos gewordene Einwand der Beschwerdeführerin als unbehelflich erweist, wonach das EJPD als verwaltungsinterne Rechtsmittelinstanz nicht den Anforderungen an ein unabhängiges und unparteiisches Gericht im Sinne von Art. 6 Abs. 1 EMRK entspreche.</w:t>
      </w:r>
    </w:p>
    <w:p>
      <w:r>
        <w:rPr>
          <w:b/>
        </w:rPr>
        <w:t>E. 4.1</w:t>
      </w:r>
    </w:p>
    <w:p>
      <w:r>
        <w:t>Gemäss Art. 27 Abs. 1 BüG kann eine ausländische Person nach der Eheschliessung mit einem Schweizer Bürger ein Gesuch um erleichterte Einbürgerung stellen, wenn sie insgesamt fünf Jahre in der Schweiz gelebt hat, seit einem Jahr hier wohnt und seit drei Jahren in ehelicher Gemeinschaft mit dem Schweizer Bürger lebt. Ihre Einbürgerung setzt gemäss Art. 26 Abs. 1 BüG zudem voraus, dass sie die schweizerische Rechtsordnung beachtet und die innere oder äussere Sicherheit der Schweiz nicht gefährdet.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erteilt werden (BGE 130 II 482 E. 2 S. 484; BGE 129 II 401 E. 2.2 S. 403.; BGE 128 II 97 E. 3a S. 99).</w:t>
      </w:r>
    </w:p>
    <w:p>
      <w:r>
        <w:rPr>
          <w:b/>
        </w:rPr>
        <w:t>E. 4.2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484). Denn der Gesetzgeber wollte ausländischen Ehepartnern von Schweizer Bürgern die erleichterte Einbürgerung ermöglichen, um die Einheit des Bürgerrechts der Ehegatten gerade im Hinblick auf eine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Einbürgerung das Scheidungsverfahren eingeleitet wird.</w:t>
      </w:r>
    </w:p>
    <w:p>
      <w:r>
        <w:rPr>
          <w:b/>
        </w:rPr>
        <w:t>E. 4.3</w:t>
      </w:r>
    </w:p>
    <w:p>
      <w:r>
        <w:t>Gemäss Art. 41 Abs. 1 BüG kann die Einbürgerung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w:t>
      </w:r>
    </w:p>
    <w:p>
      <w:r>
        <w:t>Die angefochtene Verfügung ist am 21. Mai 2004 ergangen, d.h. innert der am 8. Juli 2004 endenden gesetzlichen Frist von fünf Jahren (p.a. Art. 130 und Art. 132 i.V.m. Art. 77 Abs. 1 Ziff. 3 des Obligationenrechts vom 30. März 1911 [OR, SR 220]). Die Zustimmungserklärungen der Heimatkantone Zürich und Aargau sind zwar erst später, am 25. Mai und 8. Juni 2004 erteilt worden. Da jedoch auch sie innert der fünfjährigen Frist abgegeben wurden, konnte die ursprüngliche Fehlerhaftigkeit der angefochtenen Verfügung nachträglich behoben werden. Die formellen Voraussetzungen von Art. 41 Abs. 1 BüG sind somit erfüllt.</w:t>
      </w:r>
    </w:p>
    <w:p>
      <w:r>
        <w:rPr>
          <w:b/>
        </w:rPr>
        <w:t>E. 6</w:t>
      </w:r>
    </w:p>
    <w:p>
      <w:r>
        <w:t>Vorweg ist die Rüge der Beschwerdeführerinnen zu prüfen, die rogatorische Befragung des geschiedenen Schweizer Ehemannes V._______ vom 13. Juni 2003 sei nicht gerichtsverwertbar. Die Beschwerdeführerinnen beanstanden zweierlei. Zum einen sei nicht klar, in welcher Eigenschaft V._______ einvernommen worden sei. Zum anderen sei er befragt worden, ohne dass ihm irgendwelche Konsequenzen für den Fall falscher Aussagen angedroht worden seien. Dazu ist eingangs festzuhalten, dass die mündliche Befragung V._______s durch die Kantonspolizei Zürich gestützt auf einen schriftlichen Fragenkatalog der Vorinstanz, die schriftliche Erfassung der Antworten in einem Protokoll und die Unterzeichnung des Protokolls durch V._______ den gesetzlichen Anforderungen an eine schriftliche Auskunftseinholung gemäss Art. 12 Bst. c VwVG sowie Art. 19 VwVG i.V.m. Art. 49 des Bundesgesetzes vom 4. Dezember 1947 über den Bundeszivilprozess (BZP, SR 273) genügte (vgl. dazu BGE 130 II 169 2.3.4 S. 173 f.). Dass V._______ nicht auf seine Wahrheitspflicht aufmerksam gemacht wurde, liegt in seiner verfahrensrechtlichen Stellung als Auskunftsperson begründet und kann nicht beanstandet werden. Dagegen wäre sicher wünschbar gewesen, wäre V._______ ausdrücklich darauf aufmerksam gemacht worden, dass er als Auskunftsperson einvernommen werde. Allerdings machen die Beschwerdeführerinnen nicht geltend, V._______ habe falsch ausgesagt. Sie berufen sich ganz im Gegenteil auf seine Schilderung der Vorgänge. Damit gehen die Rügen der Beschwerdeführerinnen jedoch definitiv ins Leere.</w:t>
      </w:r>
    </w:p>
    <w:p>
      <w:r>
        <w:rPr>
          <w:b/>
        </w:rPr>
        <w:t>E. 7.1</w:t>
      </w:r>
    </w:p>
    <w:p>
      <w:r>
        <w:t>Aus den Akten ergibt sich der folgende Sachverhalt: Die Beschwerdeführerin 1 und ihr türkischer Ehemann heirateten im Jahr 1983 ein erstes Mal. Im Jahr 1987 emigrierte der Ehemann in die Schweiz und stelle ein Asylgesuch. Die Ehefrau folgte ihm im Jahr 1989 nach und ersuchte ebenfalls um Asyl. Nach dem Rückzug der Gesuche kehrten die Eheleute im April 1991 in ihre Heimat zurück. Während dieses ersten Aufenthaltes in der Schweiz lernte der Ehemann den Schweizer Bürger V._______ kennen. Beide arbeiteten beim gleichen Arbeitgeber und verkehrten auch auf privater Basis eng miteinander. Dadurch schloss V._______ Bekanntschaft mit der Beschwerdeführerin 1. Nach der Rückkehr der Eheleute wurde der enge freundschaftliche Kontakt weiter aufrecht erhalten. V._______ besuchte die Familie alljährlich in der Türkei und unternahm mit ihr gemeinsame Reisen durch das Land. Am 14. Februar 1995 wurde die Ehe in der Türkei geschieden, wobei die gemeinsamen vier Kinder der Beschwerdeführerin 1 zugesprochen wurden. Bereits knapp vier Monate später, am 6. Juni 1995, verheiratete sie sich, ebenfalls in der Türkei, mit V._______ und zog zu ihm in die Schweiz. Die zwei älteren Kinder, die Beschwerdeführerinnen 2 und 3, folgten der Mutter spätestens im Dezember 1996 und die zwei jüngeren im Mai 1999 nach. Am 26. Januar 1998, d.h. gut fünf Monate vor der Erfüllung der zeitlichen Minimalvoraussetzungen gemäss Art. 27 Abs. 1 Bst c BüG ersuchte die Beschwerdeführerin 1 um erleichterte Einbürgerung. Am 21. Juni 1999 unterzeichneten die Ehegatten die gemeinsame Erklärung über den Zustand ihrer Ehe, und am 8. Juli 1999 wurde die Beschwerdeführerin 1 erleichtert eingebürgert. Bereits drei Monate später, am 15. Oktober 1999, fand eine eheschutzrichterliche Verhandlung statt, in deren Verlauf den Ehegatten das Getrenntleben bewilligt wurde, und am 2. November 1999 klagte die Beschwerdeführerin 1 auf Scheidung der Ehe. Die Scheidung erfolgte mit Urteil des Bezirksgerichts Winterthur vom 19. Juni 2000, in Rechtskraft seit 30. August 2000. Anlässlich der Verhandlung vor dem Scheidungsrichter am 18. Januar 2000 gaben beide Ehegatten in getrennten Anhörungen übereinstimmend zu Protokoll, sie lebten seit sechs Monaten getrennt und hätten eigene Wohnungen. Zur Trennung der Ehegatten ist es somit noch im Juli 1999, d.h. im Monat der erleichterten Einbürgerung gekommen, und nicht erst im Oktober 1999, wie die Beschwerdeführerinnen mit Unterstützung von V._______ geltend machen. Die ins Recht gelegte Bescheinigung der zuständigen Einwohnerkontrolle, wonach V._______ seit dem 20. September 1999 an einer neuen Wohnadresse gemeldet sei, kann an dieser Feststellung nichts ändern. Dass in der Replik versucht wird, die übereinstimmende Aussage beider Ehegatten zum Trennungszeitpunkt als einen Irrtum V._______s in der zeitlichen Einordnung der Ereignisse darzustellen, muss als geradezu mutwillig bewertet werden. Am 1. August 2001, also rund ein Jahr nach der Scheidung vom Schweizer Ehegatten, verheiratete sich die Beschwerdeführerin 1 in der Türkei wieder mit U._______, der ihr im Rahmen des Familiennachzugs in die Schweiz folgte und in der Folge erneut zusammen mit V._______ im gleichen Betrieb arbeitete.</w:t>
      </w:r>
    </w:p>
    <w:p>
      <w:r>
        <w:rPr>
          <w:b/>
        </w:rPr>
        <w:t>E. 7.2</w:t>
      </w:r>
    </w:p>
    <w:p>
      <w:r>
        <w:t>Die dargestgellten Eckdaten, namentlich die Wiederverheiratung der Beschwerdeführerin 1 mit U._______ nach Auflösung der Ehe mit V._______ in Verbindung mit der sehr engen zeitlichen und sachlichen Korrelation zwischen dem Bestand der beiden Ehen einerseits und ihrem fremdenpolizeilichen Nutzen andererseits sprechen eindeutig gegen die Beschwerdeführerin 1. Sie rechtfertigen nicht nur die natürliche Vermutung, dass die Ehegatten zum Zeitpunkt der gemeinsamen Erklärung vom 21. Juni 1999 und der erleichterten Einbürgerung vom 8. Juli 1999 nicht mehr in einer stabilen ehelichen Gemeinschaft lebten (zur Bedeutung und Tragweite der natürlichen Vermutung im Verfahren auf Nichtigerklärung der erleichterten Einbürgerung vgl. grundlegend BGE 130 II 482 E. 3.2 S. 485 f.). Wird die eigentümliche, seit Jahren bestehende Dreiecksbeziehung zwischen den Betroffenen in Betracht gezogen, erscheint darüber hinaus auch der Verdacht der Vorinstanz durchaus als begründet, das gesamte Vorgehen sei unter den drei beteiligten Personen zum vornherein abgesprochen gewesen, und es habe demzufolge zwischen der Beschwerdeführerin 1 und V._______ zu keinem Zeitpunkt eine tatsächliche eheliche Gemeinschaft bestanden. Nachfolgend ist zu prüfen, ob die Beschwerdeführerinnen in der Lage sind, diese natürliche Vermutung zu widerlegen. Dazu brauchen sie nicht den Nachweis zu erbringen, dass die Ehe mit V._______ zum massgeblichen Zeitpunkt intakt war, denn eine tatsächliche Vermutung führt nicht zur Umkehr der Beweislast. Es genügt, wenn die Beschwerdeführerinnen eine plausible Alternative zu der dargestellten Vermutungsfolge präsentieren können. Sie können den Gegenbeweis erbringen, sei es indem sie glaubhaft den Eintritt eines ausserordentlichen Ereignisses dartun, das geeignet ist, den raschen Verfall der ehelichen Bande zu erklären, sei es indem sie glaubhaft darlegen, dass sich die Beschwerdeführerin 1 der ehelichen Probleme nicht bewusst gewesen sei und dass sie demzufolge zum Zeitpunkt, als sie die Erklärung unterzeichnete, den wirklichen Willen hatte, weiterhin eine stabile eheliche Beziehung aufrecht zu halten (vgl. das oben zitierte Urteil sowie Urteile des Bundesgerichts 5A.13/2005 vom 6 September 2005 E. 4.2, und 5A.23/2005 vom 22. November 2005 E. 5.2).</w:t>
      </w:r>
    </w:p>
    <w:p>
      <w:r>
        <w:rPr>
          <w:b/>
        </w:rPr>
        <w:t>E. 7.3</w:t>
      </w:r>
    </w:p>
    <w:p>
      <w:r>
        <w:t>Die Beschwerdeführerin 1 beteuert, dass sie V._______ aus Liebe geheiratet habe und macht geltend, Konflikte zwischen ihrem Ehemann und den Kindern hätten nachträglich zum Scheitern der Ehe geführt. Zum Zeitpunkt der gemeinsamen Erklärung seien sie und ihr Ehemann noch von einer intakten Ehe ausgegangen. Sie selbst habe die Scheidung nicht gewollt. Es sei ihr damaliger Ehemann gewesen, der darauf gedrängt habe. Sie selbst habe sich damit nie abgefunden und leide psychisch immer noch daran. Zu einer Wiederannäherung an den ersten Ehemann und zur Wiederverheiratung sei es gekommen, weil sie sich als alleinerziehende Mutter von vier Kindern überfordert gefühlt habe. Die Darstellung der Beschwerdeführerin 1 wird von V._______ anlässlich seiner Einvernahme im Wesentlichen bestätigt. Erläuternd weist er darauf hin, dass er kleine Kinder grundsätzlich nicht gut ertrage und dass ihn die Unordnung und der Lärm, den sie in der ehelichen Wohnung verursacht hätten, massiv gestört habe. Zum Zeitpunkt der gemeinsamen Erklärung habe er aber noch daran geglaubt, dass man einen Ausweg aus dem "Kinderproblem" finden werde. Er sei es gewesen, der die Trennung vorgeschlagen und nach Bezug einer separaten Wohnung auf Scheidung gedrängt habe.</w:t>
      </w:r>
    </w:p>
    <w:p>
      <w:r>
        <w:rPr>
          <w:b/>
        </w:rPr>
        <w:t>E. 7.4</w:t>
      </w:r>
    </w:p>
    <w:p>
      <w:r>
        <w:t>Die Darstellung der Beschwerdeführerin 1 überzeugt nicht. Dagegen spricht bereits der zeitliche Ablauf der Ereignisse auf der Grundlage ihrer eigenen Schilderungen und der von ihr inhaltlich nicht bestrittenen Akten. So ist darauf hinzuweisen, dass der Ehemann zweieinhalb Monate nach der erleichterten Einbürgerung polizeilich an einer anderen Wohnadresse registriert war und dass rund drei Monate nach der erleichterten Einbürgerung die gerichtliche Trennung der Ehegatten im Rahmen eines Eheschutzverfahrens verfügt wurde. In Anbetracht des Umstands, dass das Erkennen des Scheiterns einer Ehe, der Trennungsentschluss und dessen Umsetzung einige Zeit brauchen, kann nicht angenommen werden, die Ehe sei aus der Sicht der Beteiligten zum Zeitpunkt der Unterzeichnung der Erklärung am 21. Juni 1999 bzw. der erleichterten Einbürgerung am 8. Juli 1999 noch intakt gewesen. Noch weniger rechtfertigt sich eine solche Annahme, nachdem - wie oben dargelegt - als erwiesen betrachtet werden muss, dass die Eheleute die eheliche Gemeinschaft bereits im Juli 1999, also im Monat der erleichterten Einbürgerung aufgegeben haben. Die Angaben der Beteiligten zum Scheidungsentschluss und seiner Umsetzung, die das Bild einer gegen ihren Willen verlassenen Ehefrau und Mutter von vier Kindern zeichnen sollen, sind entsprechend verworren. Die einseitige Zuweisung der Verantwortlichkeit an V._______ lässt sich schwer mit dem Umstand vereinbaren, dass es die Beschwerdeführerin 1 war, die auf Scheidung klagte. Dazu führt V._______ in einem Schreiben vom 6. September 2004 aus, er habe die Beschwerdeführerin 1 gebeten, das Notwendige vorzukehren, weil er dazu "aus zeitlichen Gründen" nicht gekommen sei. Die Beschwerdeführerin 1 ihrerseits behauptet in der Replik, die Scheidungsklage sei ihr vom Sozialamt "befohlen" worden. Denn ohne gerichtliche Verpflichtung des Ehemannes zu Alimentenzahlungen hätte sie keine wirtschaftliche Sozialhilfe erhalten. Bloss vergisst die Beschwerdeführerin 1 mit dieser Argumentation, dass gegenseitiger Unterhalt nie Gegenstand des Eheschutz- und des nachfolgenden Ehescheidungsverfahrens war. Die Ehegatten waren sich von Anfang an darin einig, dass sie auf gegenseitige Unterhaltsleistungen verzichten. Im Übrigen wusste V._______ sehr wohl, dass er mit der Beschwerdeführerin 1 die Mutter von vier (kleinen) Kindern heiratet, und er konnte bereits einige einschlägige Erfahrungen sammeln, weil die zwei älteren Kindern, die Beschwerdeführerinnen 2 und 3, schon seit Dezember 1996 in der ehelichen Wohnung lebten. Zudem machte die Beschwerdeführerin 1 selbst geltend, dass sie im September 1997 einen Schwangerschaftsabbruch habe durchführen lassen, gerade weil ihr damaliger Ehemann keine Kinder gewollt habe, und deswegen traumatisiert sei. Sollten die durch die Kinder ausgelösten Konflikte tatsächlich zum Scheitern der Ehe geführt haben, wie die Beschwerdeführerin 1 geltend macht, dann bestanden sie mit Sicherheit bereits geraume Zeit vor der gemeinsamen Erklärung und der Einbürgerung. In Wirklichkeit wird die Ehe wohl deshalb aufgegeben worden sein, weil ihr einziger Zweck, die Erlangung des Schweizer Bürgerrechts, vermeintlich erreicht worden war. Dass die Beschwerdeführerin 1 im September 1997 auf Wunsch des Ehemannes einen Schwangerschaftsabbruch und eine Sterilisation hat durchführen lassen, ist jedenfalls kein Beleg für das Bestehen einer echten ehelichen Beziehung, wie die Beschwerdeführerinnen in ihrer Replik argumentieren.</w:t>
      </w:r>
    </w:p>
    <w:p>
      <w:r>
        <w:rPr>
          <w:b/>
        </w:rPr>
        <w:t>E. 8</w:t>
      </w:r>
    </w:p>
    <w:p>
      <w:r>
        <w:t>Der Beschwerdeführerin 1 ist es somit nicht gelungen, die gegen sie sprechende natürliche Vermutung überzeugend in Frage zu stellen, dass zum Zeitpunkt der gemeinsamen Erklärung vom 21. Juni 1999 und der erleichterten Einbürgerung am 8. Juli 1999 zwischen ihr und V._______ keine stabile und auf Zukunft ausgerichtete ehelichen Gemeinschaft bestanden hat. Auf Grund der gesamten Umstände muss im Gegenteil davon ausgegangen werden, dass der Ehewille, falls er überhaupt jemals bestand, bereits einige Zeit vorher erloschen war und an der Ehe schlussendlich nur festgehalten wurde, um der Beschwerdeführerin 1 zu einer erleichterten Einbürgerung zu verhelfen. Indem die Beschwerdeführerin 1 in der gemeinsamen Erklärung den Bestand einer intakten und stabilen Ehe versicherte, hat sie die Behörden über eine wesentliche Tatsache getäuscht und die erleichterte Einbürgerung im Sinne von Artikel 41 Absatz 1 BüG erschlichen. Die materiellen Voraussetzungen für die Nichtigerklärung der erleichterten Einbürgerung sind somit ebenfalls erfüllt und die angefochtene Verfügung ist soweit zu Recht ergangen.</w:t>
      </w:r>
    </w:p>
    <w:p>
      <w:r>
        <w:rPr>
          <w:b/>
        </w:rPr>
        <w:t>E. 9.1</w:t>
      </w:r>
    </w:p>
    <w:p>
      <w:r>
        <w:t>Im Sinne eines Eventualantrags machen die Beschwerdeführerinnen geltend, zumindest den in der Zwischenzeit volljährigen Beschwerdeführerinnen 2 und 3 sei das Schweizer Bürgerrecht zu belassen. Da sie an den Vorgängen um die erleichterte Einbürgerung der Beschwerdeführerin 1 anerkanntermassen in keiner Weise beteiligt gewesen seien, sei es nicht einzusehen, weshalb sie in die Nichtigerklärung einbezogen worden seien. Ein solches Vorgehen sei als "Sippenhaft" zu werten, die nach rechsstaatlichen Massstäben unhaltbar sei.</w:t>
      </w:r>
    </w:p>
    <w:p>
      <w:r>
        <w:rPr>
          <w:b/>
        </w:rPr>
        <w:t>E. 9.2</w:t>
      </w:r>
    </w:p>
    <w:p>
      <w:r>
        <w:t>Art. 41 Abs. 3 BüG hält in diesem Zusammenhang fest, dass sich die Nichtigkeit von Gesetzes wegen auf alle Familienmitglieder erstreckt, deren Schweizer Bürgerrecht auf der nichtigerklärten Einbürgerung beruht, es sei denn, etwas anderes wird ausdrücklich verfügt. Daraus folgt, dass die Ausdehnung den gesetzlichen Regelfall und der Nichteinbezug die zu rechtfertigende Ausnahme darstellt. Indem der Gesetzgeber die Erstreckung solchermassen ohne weitere Voraussetzungen zur gesetzlichen Regelfolge der Nichtigerklärung der Einbürgerung eines sich unredlich verhaltenden Ausländers erklärt, schliesst er eine Anknüpfung an unredliches Verhalten seiner reflexhaft betroffenen Familienmitglieder zum vornherein aus. Ganz offensichtlich geht der Gesetzgeber davon aus, dass Einbürgerungen, die letztlich auf Täuschung der Behörden beruhen, keinen Bestand haben dürfen. Es tritt hinzu, dass reflexhaft betroffene Familienmitglieder in den allermeisten Konstellationen an der initialen Täuschungshandlung nicht mitgewirkt haben, sodass die Anknüpfung an ihr eigenes unredliches Verhalten das in Art. 41 Abs. 3 BüG zum Ausdruck kommende Verhältnis zwischen Regelfall und Ausnahme in ihr Gegenteil verkehren würde, wollte man es als Rechtfertigung für einen Nichteinbezug gelten lassen. Entgegen der Auffassung der Beschwerdeführerinnen kann in diesem Zusammenhang von einer Sippenhaft nicht die Rede sein. Denn die reflexhaft betroffenen Familienmitglieder verlieren mit ihrem Schweizer Bürgerrecht einen privilegierten Rechtsstatus, den sie nicht hätten, hätte sich die Person, von der sie ihren Status ableiten, gesetzeskonform verhalten.</w:t>
      </w:r>
    </w:p>
    <w:p>
      <w:r>
        <w:rPr>
          <w:b/>
        </w:rPr>
        <w:t>E. 9.3</w:t>
      </w:r>
    </w:p>
    <w:p>
      <w:r>
        <w:t>Der Einwand der Beschwerdeführerinnen erweist sich somit als unbegründet. Andere Gründe, die es rechtfertigen würden, die Beschwerdeführerinnen 2 und 3 von der Nichtigerklärung auszunehmen, sind nicht ersichtlich. Sie ergeben sich namentlich nicht aus dem Schreiben der Beschwerdeführerin 2 vom 20. Juli 2004, in dem sie auf eigene Integrationsleistungen verweist und den Verlust eines wesentlichen Teils ihrer Identität beklagt, sollte sie ihr Schweizer Bürgerrecht verlieren. Die letztere Folge ist jeder Nichtigerklärung mit Reflexwirkungen eigen, und die geltend gemachte gute Integration wird ihr im Rahmen eines Verfahrens auf ordentliche Einbürgerung von Nutzen sein. Die Beibehaltung des Schweizer Bürgerrechts, das sie auf Grund des unredlichen Verhaltens ihrer Mutter im privilegierten Verfahren erhielt, wird dadurch nicht gerechtfertigt. Es ist deshalb nicht zu beanstanden, dass die Vorinstanz darauf verzichtete, die Beschwerdeführerinnen 2 und 3 von der Nichtigerklärung der erleichterten Einbürgerung auszunehmen.</w:t>
      </w:r>
    </w:p>
    <w:p>
      <w:r>
        <w:rPr>
          <w:b/>
        </w:rPr>
        <w:t>E. 10</w:t>
      </w:r>
    </w:p>
    <w:p>
      <w:r>
        <w:t>Die angefochtene Verfügung erweist sich demnach als rechtmässig (Art. 49 VwVG). Die Beschwerde ist daher abzuweisen.</w:t>
      </w:r>
    </w:p>
    <w:p>
      <w:r>
        <w:rPr>
          <w:b/>
        </w:rPr>
        <w:t>E. 11</w:t>
      </w:r>
    </w:p>
    <w:p>
      <w:r>
        <w:t>Dem Ausgang des Verfahrens entsprechend werden die unterliegenden Beschwerdeführerinnen kostenpflichtig (Art. 63 Abs. 1 VwVG). Die Verfahrenskosten sind auf Fr. 800.-- festzusetzen (Art. 1, Art. 2 und Art. 3 Bst. b des Reglements vom 11. Dezember 2006 über die Kosten und Entschädigungen vor dem Bundesverwaltungsgericht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