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C-1137/2007 vom 23. September 2009</w:t>
      </w:r>
    </w:p>
    <w:p>
      <w:r>
        <w:t>Bundesverwaltungsgericht, 2009-09-23, FR</w:t>
      </w:r>
    </w:p>
    <w:p>
      <w:r>
        <w:rPr>
          <w:b/>
        </w:rPr>
        <w:t xml:space="preserve">Quelle: </w:t>
      </w:r>
      <w:r>
        <w:t>https://mcp.opencaselaw.ch/entscheid/bvger_C-1137_2007</w:t>
      </w:r>
    </w:p>
    <w:p>
      <w:r>
        <w:t>FR: TAF C-1137/2007 du 23 septembre 2009</w:t>
      </w:r>
    </w:p>
    <w:p>
      <w:r>
        <w:t>IT: TAF C-1137/2007 del 23 settembre 2009</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l'Office de l'assurance-invalidité pour les assurés résidant à l'étranger (OAIE)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entrée en vigueur le 1er janvier 2003. est applicable. L'art. 1 al. 1 LAI dispose que les dispositions de la LPGA s'appliquent à l'assurance-invalidité (art. 1a à 26bis et 28 à 70), à moins que la LAI ne déroge à la LPGA.</w:t>
      </w:r>
    </w:p>
    <w:p>
      <w:r>
        <w:rPr>
          <w:b/>
        </w:rPr>
        <w:t>E. 1.3</w:t>
      </w:r>
    </w:p>
    <w:p>
      <w:r>
        <w:t>Le recourant a pris part à la procédure devant l'autorité inférieure; il est spécialement atteint par la décision attaquée et a un intérêt digne de protection à son annulation ou à sa modification (art. 48 al. 1 PA, cf. art. 59 LPGA). Il est, partant, légitimé à recourir. Dans la mesure où le recours a été introduit dans le délai et la forme prescrits (art. 60 LPGA et 52 PA), il est entré en matière sur le fond du recours.</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(ATFA cause I 435/02 consid. 2 du 4 février 2003;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3.1</w:t>
      </w:r>
    </w:p>
    <w:p>
      <w:r>
        <w:t>Selon l'art. 2 LPGA (également dans sa teneur en vigueur à partir du 1er janvier 2008), les dispositions de ladite loi sont applicables aux assurances sociales régies par la législation fédérale si et dans la mesure où les lois spéciales sur les assurances sociales le prévoient.</w:t>
      </w:r>
    </w:p>
    <w:p>
      <w:r>
        <w:rPr>
          <w:b/>
        </w:rPr>
        <w:t>E. 3.2</w:t>
      </w:r>
    </w:p>
    <w:p>
      <w:r>
        <w:t>Est litigieux en l'espèce la question de savoir si le recourant a encore droit à une rente d'invalidité à partir du 1er octobre 2005. L'examen du droit à des prestations selon la LAI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5ème révision de la LAI entrées en vigueur le 1er janvier 2008 ne sont donc pas applicables et les dispositions citées ci-après sont celles en vigueur jusqu'au 31 décembre 2007, alors que la procédure est soumise aux normes en vigueur au moment de l'examen du recours.</w:t>
      </w:r>
    </w:p>
    <w:p>
      <w:r>
        <w:rPr>
          <w:b/>
        </w:rPr>
        <w:t>E. 4.1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4.2</w:t>
      </w:r>
    </w:p>
    <w:p>
      <w:r>
        <w:t>L'assuré a droit à un quart de rente s'il est invalide à 40% au moins, à une demi-rente s'il est invalide à 50%, à trois-quarts de rente s'il est invalide à 60% et à une rente entière s'il est invalide à 70% au moins (art. 28 al. 1 LAI). Suite à l'entrée en vigueur le 1er juin 2002 de l'ALCP, la restriction prévue à l'art. 28 al. 1ter LAI - selon laquelle les rentes correspondant à un taux d'invalidité inférieur à 50% ne sont versées qu'aux assurés qui ont leur domicile et leur résidence habituelle en Suisse (art. 13 LPGA) - n'est plus applicable lorsque l'assuré est citoyen suisse ou ressortissant de l'UE et réside dans un Etat membre dans le sens de cet accord (ATF 130 V 253 consid. 3.1).</w:t>
      </w:r>
    </w:p>
    <w:p>
      <w:r>
        <w:rPr>
          <w:b/>
        </w:rPr>
        <w:t>E. 4.3</w:t>
      </w:r>
    </w:p>
    <w:p>
      <w:r>
        <w:t>La notion d'invalidité, dont il est question à l'art. 8 LPGA et à l'art. 4 LAI, est de nature juridique/économique et non pas médicale (ATF 116 V 246 consid. 1b). En d'autres termes, l'assurance-invalidité suisse couvre uniquement les pertes économiques liées à une atteinte à la santé physique ou psychique et non la maladie en tant que telle. Ainsi le taux d'invalidité ne se confond pas nécessairement avec le taux d'incapacité fonctionnelle déterminé par le médecin; ce sont les conséquences économiques objectives de l'incapacité fonctionnelle qu'il importe d'évaluer (ATF 110 V 275 consid. 4). Le Tribunal fédéral a néanmoins jugé que les données fournies par les médecins constituent un élément utile pour déterminer quels travaux peuvent encore être exigés de l'assuré (ATF 125 V 261 consid. 4, 115 V consid. 2, 114 V 314 consid. 3c, 105 V 158 consid. 1; RCC 1991 p. 331 consid. 1c). 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w:t>
      </w:r>
    </w:p>
    <w:p>
      <w:r>
        <w:rPr>
          <w:b/>
        </w:rPr>
        <w:t>E. 4.4</w:t>
      </w:r>
    </w:p>
    <w:p>
      <w:r>
        <w:t>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265 ss).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22 consid. 2; 99 V 99; 96 V 44). Une incapacité de travail de 20% doit être prise en compte pour le calcul de l'incapacité de travail moyenne selon l'art. 29 al. 1 let. b LAI (cf. chiffre marginal 2010 de la Circulaire concernant l'invalidité et l'impotence; Jurisprudence et pratique administrative des autorités d'exécution de l'AVS/AI [Pratique VSI] 1998 p. 126 consid. 3c).</w:t>
      </w:r>
    </w:p>
    <w:p>
      <w:r>
        <w:rPr>
          <w:b/>
        </w:rPr>
        <w:t>E. 4.5</w:t>
      </w:r>
    </w:p>
    <w:p>
      <w:r>
        <w:t>Il sied de noter que la fixation rétroactive d'une rente, comme en l'espèce, correspond matériellement à une révision aux termes de l'art. 17 LPGA dont les conditions doivent, par conséquent, être remplies (ATF 125 V 417 consid. 2d, 369 consid. 2, 112 V 372 consid. 2b). Selon cette disposition, si le taux d'invalidité du bénéficiaire de la rente subit une modification notable, la rente est, d'office ou sur demande, révisée pour l'avenir, à savoir augmentée ou réduite en conséquence, ou encore supprimée. En cas de décision simultanée sur l'octroi d'une rente et son remplacement par une autre rente ou même sa suppression, le changement est régie par l'art. 88a du règlement du 17 janvier 1961 sur l'assurance-invalidité (RAI, RS 831.201), lequel prévoit que, si la capacité de gain d'un 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(art. 88a al. 1 RAI). Quant à l'art. 88bis al. 2 let. a RAI, il dispose que la diminution ou la suppression de la rente ou de l'allocation pour impotent prend effet, au plus tôt, le premier jour du deuxième mois qui suit la notification de la décision.</w:t>
      </w:r>
    </w:p>
    <w:p>
      <w:r>
        <w:rPr>
          <w:b/>
        </w:rPr>
        <w:t>E. 5</w:t>
      </w:r>
    </w:p>
    <w:p>
      <w:r>
        <w:t>En l'espèce, il s'agit donc d'examiner par analogie à l'art. 17 LPGA si l'OAIE a fixé à raison le degré d'invalidité à 33% à l'occasion du calcul du revenu avec invalidité en février 2006, motivant ainsi la suppression de la rente à partir du 1er octobre 2005. A cet égard, il convient de relever que la date de la décision sur opposition attaquée (9 janvier 2007) marque la limite dans le temps du pouvoir d'examen de l'autorité de recours (ATF 129 V 4 consid. 2.1 et 121 V 366 consid. 1b).</w:t>
      </w:r>
    </w:p>
    <w:p>
      <w:r>
        <w:rPr>
          <w:b/>
        </w:rPr>
        <w:t>E. 6</w:t>
      </w:r>
    </w:p>
    <w:p>
      <w:r>
        <w:t>Il ressort du dossier que le recourant a travaillé en dernier lieu auprès de la société C._______ SA comme monteur en télécommunications du 9 janvier 1989 au 19 septembre 2003. Selon les indications contenues dans le questionnaire pour l'employeur, il a accompli son travail à temps complet, soit 40 heures hebdomadaires pour un salaire annuel de Fr. 80'971.- dès 2001, de Fr. 84'559.- en 2002 et de Fr. 83'202.- en 2003. Le salaire qu'il aurait pu obtenir en 2004 aurait été de Fr. 83'947.-, le montant variant en effet en fonction d'une part variable déterminée chaque année selon le chiffre d'affaires de l'entreprise (cf. pce 82). A la suite de l'accident sur la voie publique survenu le 21 septembre 2003, le recourant n'a plus repris son activité de sorte que la résiliation du contrat de travail lui a été signifiée pour le 31 octobre 2006. Quant à une activité de substitution adaptée à l'état de santé, il est apparu lors de l'entretien de réadaptation professionnelle du 13 février 2006 que l'assuré ne s'imagine pas dans une situation d'activité assise prolongée. Se voyant comme une victime des adversités, définitivement exclue du monde du travail, disant ne pas supporter le travail à l'intérieur, dans un bureau ou dans un atelier, il est resté passif durant l'entretien et inaccessible aux tentatives de la conseillère en réadaptation de le motiver pour une nouvelle activité valorisante et à la possibilité de suivre une nouvelle formation qui correspondrait à ses aspirations (cf. pce 63). Dans ces circonstances, c'est sur la base de la documentation médicale au dossier qu'il convient d'examiner l'évolution de la capacité de travail résiduelle après le 1er juillet 2005 (ATF 115 V 133, ATF 114 V 314, ATF 105 V 159, ATF 98 V 173). Il est établi que le recourant présente un status après traumatisme sévère du membre inférieur gauche en septembre 2003 avec sub-amputation traumatique du pied, amputation à mi-jambe, ostéomyélite du fémur en 2004, ayant évolué vers une amputation mi-cuisse en janvier 2005. En l'espèce, il s'agit d'examiner si et dans quelle mesure l'influence de l'atteinte décrite sur la capacité de travail s'est modifiée durant la période allant jusqu'à la date de la décision sur opposition litigieuse (cf. consid. 5), motivant la suppression de la rente entière allouée pour un degré d'invalidité initial de 100%. A cet égard, force est de constater que les avis des médecins qui se sont prononcés sur ce point divergent dans ce sens que le Dr A._______, chirurgien traitant, dans un compte-rendu du 23 mai 2005 à l'intention de la SUVA, a estimé qu'il était difficile de se prononcer quant à l'incapacité de travail à moyen et long terme, un travail avec une position assise permanente étant à souhaiter si l'assuré devait retravailler. Dans un rapport du même jour, adressé au Dr Z._______, médecin conseil de l'Office cantonal AI, le Dr A._______ a précisé que la capacité de travail actuelle était nulle et que l'état de santé n'était pas stationnaire, mais s'améliorait, soulignant encore la compliance optimale de l'assuré. Précédemment, ce même médecin, dans un rapport du 4 juillet 2004 concernant les capacités professionnelles, avait conclu à une station assise possible pendant 8 heures et une station debout de 4 heures par jour. De son côté, le Dr G._______ (chirurgie orthopédique), médecin d'arrondissement, a retenu, dans son rapport d'examen médical final du 4 août 2005, une situation actuellement stabilisée, autorisant la reprise d'une activité professionnelle en position assise avec un horaire complet. Il a cependant admis que subsistaient encore quelques problèmes d'adaptation de la prothèse nécessitant un suivi par le technicien prothésiste. D'après le rapport SMR Suisse Romande du 18 août 2005, il y avait lieu d'envisager au plus vite des mesures professionnelles. En effet, le Dr T._______ s'est rallié à l'évaluation de la situation par le médecin de la SUVA et a confirmé le début de l'aptitude à la réadaptation au 1er juillet 2005. L'assuré lui-même a affirmé lors de l'entretien du 24 février 2006, visant des mesures de réadaptation, ne pas pouvoir rester assis pendant plusieurs heures, la prothèse étant à son avis encore très mal ajustée. L'Office cantonal AI a dès lors renoncé provisoirement à proposer des mesures professionnelles et a procédé à une comparaison de revenus sur la base des tables correspondantes figurant dans l'Enquête suisse sur les salaires (ESS) laquelle a révélé une perte de gain de 33% dans l'exercice d'une activité légère raisonnablement exigible à 100%, en tenant compte d'une réduction supplémentaire de 20% en raison des limitations fonctionnelles et des circonstances personnelles. Or, le Dr A._______, dans un courrier du 4 juillet 2006 adressé à l'OAI/GE, a finalement conclu à une vraisemblable incapacité de travail définitive de 40% dans une activité à prédominance assise et a estimé souhaitable que l'assuré soit revu par le médecin conseil de l'OAI/GE. Il a exposé en particulier que l'assuré devrait être dirigé vers une profession à prédominance assise, attendu que le type de prothèse impliqué par une amputation mi-cuisse comporte un soutien ischiatique, avec une prothèse qui est proéminente sous l'ischion en position assise. Appelée à prendre position dans le cadre de la procédure sur opposition, la Dresse M._______, médecin SMR, dans l'avis médical du 15 août 2006, souligne que la division réadaptation de l'Office cantonal AI reste à disposition de l'assuré lorsque celui-ci sera suffisamment motivé pour entreprendre une formation. Quant à la dernière prise de position du Dr A._______, la Dresse M._______ estime qu'il est nécessaire de connaître la position de la SUVA et requiert la production de pièces en possession de l'assureur-accidents depuis le dernier envoi du 3 janvier 2006. Ayant constaté que du côté de la SUVA, aucune évolution n'a été enregistré, la Dresse M._______, dans un dernier avis médical du 29 novembre 2006, considère qu'il n'y a pas d'élément nouveau de sorte que les conclusions du précédent rapport restent toujours valables. Or, il résulte des documents transmis par la SUVA dans le cadre du complément d'instruction initié par l'autorité de céans qu'aussi bien le Dr N._______, expert auprès des tribunaux (France), que le Dr G._______, médecin d'arrondissement de la SUVA, ont émis des réserves quant à la capacité de travail résiduelle, le premier retenant une incapacité temporaire totale du 21 septembre 2003 au 21 septembre 2006 et une incapacité permanente partielle de 50% dans une activité adaptée, compatible avec le handicap, dès le 22 septembre 2006, le second préconisant la mise en ?uvre d'une évaluation personnalisée des capacités fonctionnelles de l'assuré. Dans ce contexte, il convient de rappeler que, dans l'arrêt ATF 126 V 288, l'ancien Tribunal fédéral des assurances (TFA), faisant partie intégrante du Tribunal fédéral (TF) depuis le 1er janvier 2007, a précisé sa jurisprudence concernant la coordination de l'évaluation de l'invalidité dans les différentes branches de l'assurance sociale. Il a notamment confirmé le caractère uniforme de la notion d'invalidité dans ces différentes branches (cf. art. 22 LPGA), ainsi que son effet de coordination dans l'évaluation de l'invalidité. En revanche, il a renoncé à la pratique consistant à accorder plus d'importance à l'évaluation effectuée par l'un des assureurs sociaux, indépendamment des instruments dont il dispose pour instruire le cas et de l'usage qu'il en a fait dans un cas concret. Il s'agissait en effet d'éviter que des assureurs procèdent à des évaluations divergentes dans un même cas. Mais même si un assureur ne pouvait en aucune manière se contenter de reprendre, sans plus ample examen, le taux d'invalidité fixé par un autre assureur, une évaluation entérinée par une décision entrée en force ne pouvait pas rester simplement ignorée. Toutefois, il convenait de s'écarter d'une telle évaluation lorsqu'elle reposait sur une erreur de droit ou sur une appréciation insoutenable (ATF 119 V 471 consid. 2b) ou encore lorsqu'elle a résulté d'une simple transaction conclue avec l'assuré (ATF 112 V 175 s. consid. 2a). A ces motifs de divergence déjà reconnus antérieurement par la jurisprudence, il fallait ajouter des mesures d'instruction extrêmement limitées et superficielles, ainsi qu'une évaluation pas du tout convaincante ou entachée d'inobjectivité (ATF 126 V 293 s. consid. 2d). Dans un arrêt ultérieur U 148/06 du 28 août 2007, le TF a ajusté sa jurisprudence concernant la coordination de l'évaluation de l'invalidité dans les différentes branches de l'assurance sociale et a précisé en particulier que l'assurance-invalidité n'est pas liée par l'évaluation de l'invalidité de l'assurance-accidents au sens de l'arrêt cité ci-dessus, de même que l'évaluation de l'invalidité par l'assurance-invalidité ne lie en aucun cas l'assurance-accidents. En effet, le TF a retenu que les critères déterminants pour l'attribution d'une rente divergent dans les différentes assurances sociales, malgré une notion de l'invalidité en principe identique. Ainsi, une décision entrée en force dans une procédure impliquant l'assurance-accidents n'exclut nullement un litige dans la procédure concernant l'assurance-invalidité. En revanche, dans l'arrêt cité, le TF a renoncé à l'examen de la question à savoir quelle est la signification de l'évaluation de l'invalidité par l'assurance-accidents pour l'assurance-invalidité et vice-versa, par exemple quant à l'obligation de la production du dossier de l'autre assureur. A tout le moins, les décisions de rente de l'assureur-accidents et de l'Office AI sont notifiées à l'autre institution d'assurance (cf. ATF 133 V 549 et les références).</w:t>
      </w:r>
    </w:p>
    <w:p>
      <w:r>
        <w:rPr>
          <w:b/>
        </w:rPr>
        <w:t>E. 7</w:t>
      </w:r>
    </w:p>
    <w:p>
      <w:r>
        <w:t>En l'espèce, attendu les divergences évidentes et l'incertitude concernant l'évaluation de la capacité de travail résiduelle de l'assuré, l'autorité de céans n'est pas en mesure d'adhérer aux conclusions matérielles de l'autorité inférieure et de son service médical quant à la capacité résiduelle de travail. En effet, force est de constater que le chirurgien traitant a modifié et nuancé sa première appréciation (juillet 2004) à la lumière de l'évolution de l'état de santé, estimant en mai 2005 qu'il était difficile d'émettre un pronostic quant à la capacité de travail, nulle actuellement, dans le futur, avant de conclure en juillet 2006 à une vraisemblable incapacité de travail de 40% dans une activité adaptée. De même, le Dr G._______, ayant encore en août 2005 autorisé la reprise d'une activité adaptée à temps complet, a souligné lors de l'examen du 9 octobre 2008 l'opportunité d'une évaluation personnalisée des capacités fonctionnelles. A cet égard, il a précisé que, si une telle évaluation était nécessaire, la SUVA - laquelle a par ailleurs versé des indemnités journalières jusqu'à fin mai 2006 - saura comment la demander. De surcroît, l'évaluation faite par le Dr N._______ lors de l'audience du 28 septembre 2007 auprès du Tribunal de Grande Instance de X._______ ne saurait être ignorée d'emblée. Dans ces circonstances, le recours doit être admis, sans qu'il soit nécessaire d'examiner les autres points, à savoir l'audition de médecins, définir avec précision les activités de substitution envisageables, l'opportunité d'une nouvelle expertise médicale et la conformité du calcul du degré d'invalidité. Il se justifie dès lors de renvoyer le dossier à l'autorité inférieure pour instruction complémentaire.</w:t>
      </w:r>
    </w:p>
    <w:p>
      <w:r>
        <w:rPr>
          <w:b/>
        </w:rPr>
        <w:t>E. 8</w:t>
      </w:r>
    </w:p>
    <w:p>
      <w:r>
        <w:t>L'art. 61 PA ne permet de recourir à cette solution que dans les cas exceptionnels. In casu l'application de l'exception prévue est toutefois justifiée si l'on considère les lacunes présentes dans cette cause et l'ampleur des informations à recueillir. Par conséquent, l'Office de l'assurance-invalidité pour les assurés résidant à l'étranger mettra notamment en ?uvre une évaluation personnalisée des capacités fonctionnelles du recourant, demandera le cas échéant un rapport médical actualisé, définira clairement les activités de substitution compatibles avec le handicap et le taux d'occupation du recourant dans l'exercice d'une telle activité, et procédera au calcul du degré d'invalidité par une nouvelle comparaison de revenus. Ensuite, sur la base du dossier ainsi complété, l'autorité inférieure se prononcera sur le degré d'invalidité jusqu'à la date de la décision attaquée, et de cette date à l'évaluation, en tenant compte de toutes les limitations constatées dans les activités de substitution exigibles. Puis, après la procédure d'audition, l'autorité inférieure rendra une nouvelle décision sujette à recours.</w:t>
      </w:r>
    </w:p>
    <w:p>
      <w:r>
        <w:rPr>
          <w:b/>
        </w:rPr>
        <w:t>E. 9</w:t>
      </w:r>
    </w:p>
    <w:p>
      <w:r>
        <w:t>La décision attaquée a été rendue après le 1er juillet 2006, entrée en vigueur de l'art. 69 al. 2 LAI soumettant la procédure de recours en matière de contestations portant sur l'octroi ou le refus de prestations de l'AI devant le Tribunal administratif fédéral à des frais de procédure. Au vu de l'issue de la procédure, il n'est pas perçu de frais de procédure (art. 37 LTAF et 63 al. 2 et 3 PA). Les art. 64 PA et 7 du Règlement concernant les frais, dépens et indemnités fixés par le Tribunal administratif fédéral (FITAF, RS 173.320.2) - applicable en l'espèce en vertu de l'art. 53 al. 2 in fine LTAF -, permettent au Tribunal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tenant compte de ce qui précède, il se justifie en l'espèce d'allouer à l'assuré une indemnité à titre de dépens de Fr. 2'500.- à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