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C-1131/2010 vom 23. September 2011</w:t>
      </w:r>
    </w:p>
    <w:p>
      <w:r>
        <w:t>Bundesverwaltungsgericht, 2011-09-23, IT</w:t>
      </w:r>
    </w:p>
    <w:p>
      <w:r>
        <w:rPr>
          <w:b/>
        </w:rPr>
        <w:t xml:space="preserve">Quelle: </w:t>
      </w:r>
      <w:r>
        <w:t>https://mcp.opencaselaw.ch/entscheid/bvger_C-1131_2010</w:t>
      </w:r>
    </w:p>
    <w:p>
      <w:r>
        <w:t>FR: TAF C-1131/2010 du 23 septembre 2011</w:t>
      </w:r>
    </w:p>
    <w:p>
      <w:r>
        <w:t>IT: TAF C-1131/2010 del 23 settembre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sul Tribunale federale [LTF, RS 173.110]).</w:t>
      </w:r>
    </w:p>
    <w:p>
      <w:r>
        <w:rPr>
          <w:b/>
        </w:rPr>
        <w:t>E. 1.3</w:t>
      </w:r>
    </w:p>
    <w:p>
      <w:r>
        <w:t>Salvo i casi in cui la LTAF non disponga altrimenti, la procedura davan­ti al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4</w:t>
      </w:r>
    </w:p>
    <w:p>
      <w:r>
        <w:t>Nel corso della procedura, la ricorrente si è prevalsa della violazione del suo diritto di essere sentita. Essa ha sostenuto da un lato, di non aver avuto la possibilità di difendersi e di spiegare le proprio ragioni e dall'altro, che la decisione impugnata è stata redatta in tedesco e che non le è stata notificata. Occorre dunque dapprima esaminare le censure di natura formale.</w:t>
      </w:r>
    </w:p>
    <w:p>
      <w:r>
        <w:rPr>
          <w:b/>
        </w:rPr>
        <w:t>E. 4.1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DTF 132 V 368, consid. 3.1). Il diritto di essere sentito è una garanzia di natura formale, la cui violazione implica, di principio, l'annullamento della decisione impugnata a prescindere dalle possibilità di successo nel merito (DTF 135 I 279, consid. 2.6.1; DTF 132 V 387, consid. 5.1; DTF 127 V 431, consid. 3d/aa). Nel caso di specie, risulta dagli atti di causa, che il 2 dicembre 2009, la Polizia aeroportuale del Canton Zurigo ha concesso all'interessata il diritto di essere sentita. Sebbene in maniera molto succinta alla stessa è stato infatti consegnato un formulario recante in diverse lingue, fra cui l'inglese, brevi spiegazioni inerenti ad un eventuale divieto d'entrata che avrebbe potuto essere pronunciato nei suoi confronti. In tale occasione essa ha avuto la facoltà di esprimersi. Tale diritto è stato esercitato dalla ricorrente per iscritto (cfr. rapporto della Polizia aeroportuale del Canton Zurigo del 2 dicembre 2009).</w:t>
      </w:r>
    </w:p>
    <w:p>
      <w:r>
        <w:rPr>
          <w:b/>
        </w:rPr>
        <w:t>E. 4.2</w:t>
      </w:r>
    </w:p>
    <w:p>
      <w:r>
        <w:t>Ai sensi dell'art. 33a PA una procedura giudiziaria si svolte in una delle quattro lingue ufficiali (tedesco, francese, italiano o romancio), di regola nella lingua in cui le parti hanno presentato o presenterebbero le loro conclusioni (cpv. 1). Nei procedimenti su ricorso è determinante la lingua della decisione impugnata. Se le parti utilizzano un'altra lingua ufficiale, il procedimento può svolgersi in tale lingua (cpv. 2). L'inglese non è una lingua ufficiale (cfr. Bernard Maitre / Vanessa Thalmann (Said Huber), art. 33a, in: VwVG Praxiskommentar zum Bundesgesetz über das Verwaltungsverfahren, Bernhard Waldmann / Philippe Weissenberger [edit.], Zurigo/Basilea/Ginevra 2009, cifra 10, pag. 734). L'UFM era dunque legittimato ad emettere la decisione impugnata in tedesco.</w:t>
      </w:r>
    </w:p>
    <w:p>
      <w:r>
        <w:rPr>
          <w:b/>
        </w:rPr>
        <w:t>E. 4.3</w:t>
      </w:r>
    </w:p>
    <w:p>
      <w:r>
        <w:t>Dalle risultanze agli atti, emerge che la decisione di divieto d'entrata del 6 gennaio 2010 è stata inviata all'interessata tramite la rappresentanza svizzera a San Francisco presso il recapito da lei indicato alle autorità svizzere. Siccome ai competenti agenti doganali, al momento del fermo in data 22 gennaio 2010, la decisione non risultava ancora consegnata, la relativa notifica è stata intimata all'interessata brevi manu. Tale notifica, non avendo cagionato all'interessata alcun pregiudizio, considerato che, messa a conoscenza del contenuto della decisione, ha potuto impugnarla tempestivamente con cognizione di causa per il tramite di un mandatario professionale, deve quindi essere considerata valida (cfr. sentenza del Tribunale federale 2C_347/2010 del 4 ottobre 2010 consid. 2.2 e giurisprudenza ivi citata). Visto quanto precede, le censure di forma sollevate si avverano infondate.</w:t>
      </w:r>
    </w:p>
    <w:p>
      <w:r>
        <w:rPr>
          <w:b/>
        </w:rPr>
        <w:t>E. 5.1</w:t>
      </w:r>
    </w:p>
    <w:p>
      <w:r>
        <w:t>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5.2</w:t>
      </w:r>
    </w:p>
    <w:p>
      <w:r>
        <w:t>La ricorrente non è cittadina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la ricorrente non possiede un titolo di soggiorno in alcuna Parte contraente. È dunque a giusta ragione che l'UFM ha provveduto alla segnalazione nel SIS.</w:t>
      </w:r>
    </w:p>
    <w:p>
      <w:r>
        <w:rPr>
          <w:b/>
        </w:rPr>
        <w:t>E. 6.1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2008/115/CE] RU 2010 5925 e FF 2009 7737).</w:t>
      </w:r>
    </w:p>
    <w:p>
      <w:r>
        <w:rPr>
          <w:b/>
        </w:rPr>
        <w:t>E. 6.2</w:t>
      </w:r>
    </w:p>
    <w:p>
      <w:r>
        <w:t>Conformemente al nuovo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6.3</w:t>
      </w:r>
    </w:p>
    <w:p>
      <w:r>
        <w:t>I casi per i quali l'UFM dispone, come in precedenza, di un margine di apprezzamento per pronunciare un divieto d'entrata, figurano ora all'art. 67 cpv. 2 LStr, il quale corrisponde al previgente art. 67 cpv. 1 LStr (RU 2007 5456). Diversamente, nei casi previsti dall'art. 67 cpv. 1 LStr, qualora l'allontanamento è eseguito immediatamente in virtù dell'art. 64d cpv. 2 lett. a-c LStr (lett. a) o quando lo straniero non ha lasciato la Svizzera entro il termine impartitogli (lett. b), una decisione di divieto d'entrata deve in linea di principio essere pronunciata. Il potere di apprezzamento dell'autorità è in questi casi fortemente ridotto.</w:t>
      </w:r>
    </w:p>
    <w:p>
      <w:r>
        <w:rPr>
          <w:b/>
        </w:rPr>
        <w:t>E. 6.4</w:t>
      </w:r>
    </w:p>
    <w:p>
      <w:r>
        <w:t>Dato che il nuovo diritto deve essere applicato ad una fattispecie che, come nella presente causa, è iniziata prima della sua entrata in vigore ma esplica a tutt'oggi i suoi effetti, si è in presenza di un'applicazione della legge con effetto retroattivo in senso improprio, la quale, riservato il principio della buona fede, è di principio lecita (cfr. Ulrich Häfelin / Georg Müller / Felix Uhlmann, Allgemeines Verwaltungsrecht, 5a ed., Zurigo/Basilea/San Gallo 2006, cifra 337 segg. e anche sentenza del TAF C-2482/2009 del 28 gennaio 2010 e DTAF 2009/3 consid. 3.2). La decisione impugnata, tenuto conto dei fatti rimproverati alla ricorrente, è basata sul previgente art. 67 cpv. 1 lett. a LStr che corrisponde al cpv. 2 lett. a del nuovo art. 67 LStr. D'altronde la durata della misura pronunciata il 6 gennaio 2010 è inferiore a 5 anni, di modo che l'applicazione del nuovo diritto a questi elementi di fatto non pone alcun problema di retroattività.</w:t>
      </w:r>
    </w:p>
    <w:p>
      <w:r>
        <w:rPr>
          <w:b/>
        </w:rPr>
        <w:t>E. 6.5</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In questo senso l'art. 80 cpv. 1 lett. a OASA statuisce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w:t>
      </w:r>
    </w:p>
    <w:p>
      <w:r>
        <w:rPr>
          <w:b/>
        </w:rPr>
        <w:t>E. 6.6</w:t>
      </w:r>
    </w:p>
    <w:p>
      <w:r>
        <w:t>I reati perpetrati contro le norme del diritto degli stranieri, rappresen­tano quindi delle violazioni di legge, sanzionate secondo gli art. 115 e segg. della LStr, e pos­so­no dunque in quanto tali condurre all'emissione di un divieto d'entrata, che non deve essere tuttavia interpretato quale sanzione bensì quale misura di protezione contro possibili turbative future (cfr. Messaggio pre­citato FF 2002 pag. 3428).</w:t>
      </w:r>
    </w:p>
    <w:p>
      <w:r>
        <w:rPr>
          <w:b/>
        </w:rPr>
        <w:t>E. 7.1</w:t>
      </w:r>
    </w:p>
    <w:p>
      <w:r>
        <w:t>In applicazione dell'art. 81 OASA, le autorità cantonali possono chiedere all'UFM che venga emanata una decisione di divieto d'entrata.</w:t>
      </w:r>
    </w:p>
    <w:p>
      <w:r>
        <w:rPr>
          <w:b/>
        </w:rPr>
        <w:t>E. 7.2</w:t>
      </w:r>
    </w:p>
    <w:p>
      <w:r>
        <w:t>L'autorità competente esamina secondo il suo potere di apprezzamento se un divieto d'entrata deve essere pronunciato. Essa deve dunque procedere ad una meticolosa ponderazione degli interessi in causa nel rispetto del principio della proporzionalità (cfr. Andreas Zünd/Ladina Arquint Hill, Beendigung der Anwesenheit, Entfernung und Fernhaltung, in: Ausländerrecht, Eine umfassende Darstellung der Rechtsstellung von Ausländerinnen und Ausländern in der Schweiz von A(syl) bis Z(ivilrecht), Peter Übersax/Beat Rudin/Thomas Hugi Yar/Thomas Geiser [edit.], 2a ed., Basilea 2009, cifra 8.80 pag. 356).</w:t>
      </w:r>
    </w:p>
    <w:p>
      <w:r>
        <w:rPr>
          <w:b/>
        </w:rPr>
        <w:t>E. 8.1</w:t>
      </w:r>
    </w:p>
    <w:p>
      <w:r>
        <w:t>La ricorrente è stata condannata con decreto d'accusa dell'8 gennaio 2010 per aver soggiornato nello spazio Schengen oltre i 90 giorni permessi, segnatamente dal 26 agosto 2009 fino al 2 dicembre 2009, dunque per oltre tre mesi, e per aver omesso di notificare, entro i termini previsti, alla competente autorità il prosieguo del suo soggiorno (cfr. art. 12 cpv. 1 LStr e art. 10 cpv. 2 OASA). All'interessata è stata inflitta una multa di fr. 670.-, spese ivi comprese.</w:t>
      </w:r>
    </w:p>
    <w:p>
      <w:r>
        <w:rPr>
          <w:b/>
        </w:rPr>
        <w:t>E. 8.2</w:t>
      </w:r>
    </w:p>
    <w:p>
      <w:r>
        <w:t>Come rilevato in precedenza, vi è violazione della sicurezza e dell'ordine pubblici anche nel caso di mancato rispetto di prescrizioni di legge (art. 80 cpv. 1 lett. a OASA). Considerato che la ricorrente ha violato la sicurezza e l'ordine pubblico, l'autorità inferiore ha a giusto titolo emesso un divieto d'entrata nei confronti di A._______ conformemente all'art. 67 cpv. 2 lett. a LStr.</w:t>
      </w:r>
    </w:p>
    <w:p>
      <w:r>
        <w:rPr>
          <w:b/>
        </w:rPr>
        <w:t>E. 9</w:t>
      </w:r>
    </w:p>
    <w:p>
      <w:r>
        <w:t>Essendo la decisione di divieto d'entrata confermata nel suo prin­cipio, resta ora da stabilire se la durata della misura di allontanamento adottata dall'UFM, prevista per un periodo di due anni, è adeguata alle circostanze del caso concreto (cfr. art. 49 lett. c PA).</w:t>
      </w:r>
    </w:p>
    <w:p>
      <w:r>
        <w:rPr>
          <w:b/>
        </w:rPr>
        <w:t>E. 9.1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RubrumUhlmann, Allge­meines Verwaltungsrecht, 5a ed., Zurigo/Basilea/Ginevra 2006,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9.2</w:t>
      </w:r>
    </w:p>
    <w:p>
      <w:r>
        <w:t>A._______ ha affermato nel suo atto ricorsuale di aver fatto ingresso nello spazio Schengen e di esserne uscita rispettando la normativa in ambito, ovvero senza mai trattenersi oltre i 90 giorni concessi, sebbene il suo passaporto non fosse contrassegnato dai relativi timbri di uscita. A sostegno della propria affermazione essa ha prodotto un messaggio di posta elettronica del 29 gennaio 2010, costituito da sei pagine, inviato all'indirizzo "...@joymodels.com", confermanti, a suo dire, i voli verso un Paese terzo. Esaminati i suddetti documenti, il Tribunale ritiene che non siano idonei a comprovare le affermazioni addotte. In primo luogo, come ritenuto dall'autorità inferiore, la ricorrente ha affermato, il 2 dicembre 2009, di non essere stata al corrente di non poter rimanere nello spazio Schengen al massimo per un periodo di 90 giorni. Essa non ha contestato i fatti. In secondo luogo il messaggio di posta elettronica contiene delle prenotazioni di volo, che in quanto tali, non possono inconfutabilmente dimostrare l'avvenuta partenza. Tali prenotazioni risultano essere poco chiare e scarsamente attendibili. Infine, anche nell'ipotesi in cui la ricorrente fosse realmente uscita ed entrata anche solo un'unica volta, risulta poco plausibile che le autorità di controllo alla frontiera, sia uscendo dagli Stati Uniti sia entrando in un Paese terzo o vice versa, abbiano tralasciato di apporre i relativi timbri. Dalla copia del passaporto agli atti, figurano per il periodo trascorso nello spazio Schengen unicamente un timbro d'entrata a Zurigo il 28 maggio 2009, di uscita da Zurigo nonché entrata negli Stati Uniti il 2 dicembre 2009.</w:t>
      </w:r>
    </w:p>
    <w:p>
      <w:r>
        <w:rPr>
          <w:b/>
        </w:rPr>
        <w:t>E. 9.3</w:t>
      </w:r>
    </w:p>
    <w:p>
      <w:r>
        <w:t>Per quanto riguarda l'interesse privato di Amanda Hartzer, dalle risultanze agli atti non emergono elementi idonei a considerarlo preponderante. Concretamente, essa non ha dimostrato di avere stretti legami con la Svizzera.</w:t>
      </w:r>
    </w:p>
    <w:p>
      <w:r>
        <w:rPr>
          <w:b/>
        </w:rPr>
        <w:t>E. 9.4</w:t>
      </w:r>
    </w:p>
    <w:p>
      <w:r>
        <w:t>Nella specie, tenuto conto dell'insieme degli elementi oggettivi e soggettivi in questione e dopo un'attenta ponderazione degli interessi in causa, il Tribunale considera che l'interesse pubblico al mantenimento del provvedimento amministrativo nel contesto della polizia degli stranieri è preponderante e la durata del divieto d'entrata proporzionata in relazione allo scopo perseguito con la misura impugnata.</w:t>
      </w:r>
    </w:p>
    <w:p>
      <w:r>
        <w:rPr>
          <w:b/>
        </w:rPr>
        <w:t>E. 10</w:t>
      </w:r>
    </w:p>
    <w:p>
      <w:r>
        <w:t>Ne discende che la decisione impugnata è conforme al diritto federale (cfr. art. 49 PA). Il ricorso deve dunque essere respinto.</w:t>
      </w:r>
    </w:p>
    <w:p>
      <w:r>
        <w:rPr>
          <w:b/>
        </w:rPr>
        <w:t>E. 11</w:t>
      </w:r>
    </w:p>
    <w:p>
      <w:r>
        <w:t>Visto l'esito della procedura, si giustifica mettere a carico della ricorrente le spese processuali (art. 63 cpv. 1 PA in relazione con gli art. 1-3 del regolamento del 21 febbraio 2008 sulle tasse e sulle spese ripetibili nelle cause dinanzi al Tribunale amministrativo federale [TS-TAF,RS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