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C-1126/2012 vom 24. August 2012</w:t>
      </w:r>
    </w:p>
    <w:p>
      <w:r>
        <w:t>Bundesverwaltungsgericht, 2012-08-24, DE</w:t>
      </w:r>
    </w:p>
    <w:p>
      <w:r>
        <w:rPr>
          <w:b/>
        </w:rPr>
        <w:t xml:space="preserve">Quelle: </w:t>
      </w:r>
      <w:r>
        <w:t>https://mcp.opencaselaw.ch/entscheid/bvger_C-1126_2012</w:t>
      </w:r>
    </w:p>
    <w:p>
      <w:r>
        <w:t>FR: TAF C-1126/2012 du 24 août 2012</w:t>
      </w:r>
    </w:p>
    <w:p>
      <w:r>
        <w:t>IT: TAF C-1126/2012 del 24 agosto 2012</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Die mit Schreiben vom 24. Februar 2012 vom Beschwerdeführer erhobene "Einsprache" ist als Beschwerde an das Bundesverwaltungsgericht zu qualifizieren. Dass die Eingabe an die falsche Instanz adressiert war und dass sie unzutreffend als "Einsprache" bezeichnet war, steht ihrer Gültigkeit als Beschwerde nicht entgegen, soweit die übrigen Prozessvoraussetzungen erfüllt sind (vgl. Art. 8 Abs. 1 VwVG, Art. 33 VGG sowie Urteil des Bundesgerichts 1C_555/2010 vom 23. Februar 2011 E. 1.1 mit Hinweisen). Auf die frist- und letztlich formgerecht eingereichte Beschwerde ist demzufolge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3.1 Das in Art. 67 des Bundesgesetzes vom 16. Dezember 2005 über die Ausländerinnen und Ausländer (AuG, SR 142.20)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der Dauer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3.2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3.3 Der Beschwerdeführer erwirkte während seines Aufenthalts in der Schweiz zwei - jeweils von der Staatsanwaltschaft Graubünden erlassene - rechtskräftige Strafmandate. Mit Strafbefehl vom 23. Mai 2011 wurde er wegen geringfügigen Diebstahls zu einer Busse von Fr. 300.- und mit Strafbefehl vom 26. Juli 2011 wegen Diebstahls und Sachbeschädigung zu einer bedingt aufgeschobenen Geldstrafe von 25 Tagessätzen zu je Fr. 10.- und zu einer Busse von Fr. 100.- verurteilt. Demzufolge hat der Beschwerdeführer gegen die öffentliche Sicherheit und Ordnung im Sinne von Art. 67 Abs. 2 Bst. a AuG verstossen. Diese Ergänzung der vor-instanzlichen Begründung ist im Sinne einer Motivsubstitution durchaus möglich und zulässig (vgl. E. 2 sowie Urteil des Bundesverwaltungsgerichts C-1231/2007 vom 23. Juni 2008 E. 2). 3.4 Weiter musste der Beschwerdeführer in Ausschaffungshaft genommen und ausgeschafft werden (vgl. Sachverhalt Bst. E, Bst. G und Bst. M). Somit hat er auch diesbezüglich Gründe für die Verhängung einer Fernhaltemassnahme gesetzt (vgl. Art. 67 Abs. 2 Bst. c AuG).</w:t>
      </w:r>
    </w:p>
    <w:p>
      <w:r>
        <w:rPr>
          <w:b/>
        </w:rPr>
        <w:t>E. 4.1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w:t>
      </w:r>
    </w:p>
    <w:p>
      <w:r>
        <w:rPr>
          <w:b/>
        </w:rPr>
        <w:t>E. 4.2</w:t>
      </w:r>
    </w:p>
    <w:p>
      <w:r>
        <w:t>Das Fehlverhalten des Beschwerdeführers wiegt objektiv nicht leicht. Der Missachtung von Strafnormen kommt im Interesse einer funktionierenden Rechtsordnung eine zentrale Bedeutung zu. Auch was die subjektive Seite anbelangt, ist das Verhalten des Beschwerdeführers negativ zu werten. So delinquierte er nach seiner Einreise in die Schweiz am 31. März 2011 innerhalb kurzer Zeit zweimal. Kommt hinzu, dass er noch während des laufenden Asylverfahrens untertauchte. Zudem konnte ihn auch das bestehende Einreiseverbot nicht daran hindern, am 3. Juli 2012 erneut illegal in die Schweiz einzureisen. Das dargelegte Verhalten lässt darauf schliessen, dass der Beschwerdeführer offensichtlich nicht Willens oder in der Lage ist, sich an die geltende Rechtsordnung zu halten.</w:t>
      </w:r>
    </w:p>
    <w:p>
      <w:r>
        <w:rPr>
          <w:b/>
        </w:rPr>
        <w:t>E. 4.3</w:t>
      </w:r>
    </w:p>
    <w:p>
      <w:r>
        <w:t>An persönlichen Interessen macht der Beschwerdeführer geltend, er wolle die Schweizer Bürgerin Z._______ heiraten und mit ihr eine Familie gründen. Zwecks Ehevorbereitung sei das Einreiseverbot aufzuheben. Allem voran ist darauf hinzuweisen, dass das Einreiseverbot einen Ehe­schluss in der Schweiz nicht zum vornherein verunmöglicht. In diesem Zusam­men­hang kann auf die in Art. 67 Abs. 5 AuG vorgesehene Möglichkeit hingewiesen werden, Fernhaltemassnahmen aus humanitären oder anderen wichtigen Gründen zeitweilig auszusetzen. Kommt hinzu, dass kein Anspruch auf Eheschliessung an einem bestimmten Ort besteht (vgl. dazu Urteil des Bundesgerichts 2C_756/2009 vom 15. Dezember 2009 E. 2.3.2 mit Hinweisen). Wesent­lich ist, dass eine Ehe überhaupt geschlossen werden kann. In casu wird jedoch weder behauptet noch ist es ersichtlich, dass der Eheschluss ausserhalb der Schweiz nicht möglich wäre. Überdies wurden nicht die geringsten Anhaltspunkte zu bereits unternommenen Schritten in Sachen Eheabschluss geliefert. Nach einer allfälligen Ehe­schlies­sung stünde es dem Beschwerdeführer zudem frei, sich zum Zwecke der Regelung des ehelichen Zusammenlebens an die kantonalen Behörden zu wenden und um eine Aufenthaltsbewilligung in der Schweiz zu ersuchen. Die Erteilung von Aufenthaltsbewilligungen fällt grundsätzlich in die Zuständigkeit der Kantone, wobei im Falle einer Bewilligungserteilung dann in einem weiteren Schritt das bestehende Einreiseverbot durch die Vorinstanz aufgehoben werden kann (vgl. Urteile des Bundesgerichts 2C_793/2008 vom 27. März 2009 E. 3.2 mit Hinweisen; eingehender 2C_473/2008 vom 17. November 2008 E. 2.3).</w:t>
      </w:r>
    </w:p>
    <w:p>
      <w:r>
        <w:rPr>
          <w:b/>
        </w:rPr>
        <w:t>E. 4.4</w:t>
      </w:r>
    </w:p>
    <w:p>
      <w:r>
        <w:t>Eine wertende Gewichtung der sich entgegenstehenden Interessen führt das Bundesverwaltungsgericht zum Schluss, dass das auf drei Jahre befristete Einreiseverbot auch im gegenwärtigen Zeitpunkt unter Berücksichtigung der gängigen Praxis in vergleichbaren Fällen eine verhältnismässige und angemessene Massnahme zum Schutz der öffentlichen Ordnung darstellt.</w:t>
      </w:r>
    </w:p>
    <w:p>
      <w:r>
        <w:rPr>
          <w:b/>
        </w:rPr>
        <w:t>E. 5</w:t>
      </w:r>
    </w:p>
    <w:p>
      <w:r>
        <w:t>Aus diesen Erwägungen ergibt sich, dass die angefochtene Verfügung im Lichte von Art. 49 VwVG nicht zu beanstanden ist. Die Beschwerde ist demzufolge abzuweisen.</w:t>
      </w:r>
    </w:p>
    <w:p>
      <w:r>
        <w:rPr>
          <w:b/>
        </w:rPr>
        <w:t>E. 6</w:t>
      </w:r>
    </w:p>
    <w:p>
      <w:r>
        <w:t>Entsprechend dem Ausgang des Verfahrens wird der unterliegende Beschwerdeführer kostenpflichtig (vgl. Art. 63 Abs. 1 VwVG, Art. 1, 2 und 3 Bst. b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