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C-1124/2013 vom 27. Januar 2017</w:t>
      </w:r>
    </w:p>
    <w:p>
      <w:r>
        <w:t>Bundesverwaltungsgericht, 2017-01-27, DE</w:t>
      </w:r>
    </w:p>
    <w:p>
      <w:r>
        <w:rPr>
          <w:b/>
        </w:rPr>
        <w:t xml:space="preserve">Quelle: </w:t>
      </w:r>
      <w:r>
        <w:t>https://mcp.opencaselaw.ch/entscheid/bvger_C-1124_2013</w:t>
      </w:r>
    </w:p>
    <w:p>
      <w:r>
        <w:t>FR: TAF C-1124/2013 du 27 janvier 2017</w:t>
      </w:r>
    </w:p>
    <w:p>
      <w:r>
        <w:t>IT: TAF C-1124/2013 del 27 gennaio 2017</w:t>
      </w:r>
    </w:p>
    <w:p>
      <w:pPr>
        <w:pStyle w:val="Heading2"/>
      </w:pPr>
      <w:r>
        <w:t>Regeste</w:t>
      </w:r>
    </w:p>
    <w:p>
      <w:r>
        <w:t>Spezialitätenliste</w:t>
      </w:r>
    </w:p>
    <w:p>
      <w:pPr>
        <w:pStyle w:val="Heading2"/>
      </w:pPr>
      <w:r>
        <w:t>Erwägungen</w:t>
      </w:r>
    </w:p>
    <w:p>
      <w:r>
        <w:rPr>
          <w:b/>
        </w:rPr>
        <w:t>E. 1.1</w:t>
      </w:r>
    </w:p>
    <w:p>
      <w:r>
        <w:t>Gemäss Art. 31 VGG in Verbindung mit Art. 33 Bst. d VGG sowie Art. 5 VwVG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ATSG sind vorliegend nicht anwendbar (vgl. Art. 1 Abs. 1 und 2 Bst. b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beziehungsweise Abänderung ein schutzwürdiges Interesse. Nachdem der Verfahrenskostenvorschuss rechtzeitig geleistet worden ist, kann auf die frist- und formgerecht eingereichte Beschwerde eingetreten werden (vgl. Art. 50 Abs. 1, Art. 52 und Art. 63 Abs. 4 VwVG).</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BGer 8C_676/2010 vom 11. Februar 2011; Benjamin Schindler, in: Auer/Müller/Schindler [Hrsg.], Kommentar zum Bundesgesetz über das Verwaltungsverfahren [VwVG], Zürich 2008, Rz. 26 zu Art. 49).</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2.3</w:t>
      </w:r>
    </w:p>
    <w:p>
      <w:r>
        <w:t>In zeitlicher Hinsicht sind grundsätzlich diejenigen materiell-rechtlichen Rechtssätze massgebend, die bei der Erfüllung des zu Rechtsfolgen führenden Sachverhalts Geltung haben (BGE 130 V 329 E. 2.3, BGE 134 V 315 E. 1.2). Massgebend sind vorliegend die für den Zeitpunkt der verfügten Preissenkung, also am 28. Januar 2013 geltenden materiellen Bestimmungen. Dazu gehören einerseits namentlich das KVG in der nach Inkrafttreten der Änderung vom 1. Januar 2013 (AS 2012 4085, 2012 4087; BBl 2011 7385 7393; BBl 2011 2519 2529) geltenden Fassung, die KVV in der nach Inkrafttreten der Änderung vom 1. Mai 2012 geltenden Fassung (AS 2012 1767) und die KLV in der nach Inkrafttreten der Änderung vom 1. September 2012 geltenden Fassung (AS 2012 4347).</w:t>
      </w:r>
    </w:p>
    <w:p>
      <w:r>
        <w:rPr>
          <w:b/>
        </w:rPr>
        <w:t>E. 3</w:t>
      </w:r>
    </w:p>
    <w:p>
      <w:r>
        <w:t>Die Beschwerdeführerin hat in ihrer Replik vom 14. November 2013 die Anträge und die Begründung ihrer Beschwerde vom 28. Februar 2013 modifiziert, indem sie im Hauptantrag zwar nach wie vor die Aufhebung der angefochtenen Verfügung vom 28. Januar 2013 und die Rückweisung der Streitsache an die Vorinstanz fordert, verbunden mit der Anweisung, den FAP ausschliesslich anhand des TQV festzulegen und dabei die Kosten für Forschung und Entwicklung angemessen zu berücksichtigen. Damit lässt sie im Ergebnis ihren Eventualantrag fallen, wonach für den Fall der Durchführung eines APV wechselkursbedingte Preisreduktionen auszuschliessen und der Auslandpreisvergleich sowie der therapeutische Quervergleich bei der Beurteilung der Wirtschaftlichkeit gleich zu gewichten seien (Ziff. 1 Bst. b der Beschwerdeanträge; vgl. BVGer act. 1, S. 2 und BVGer act. 20, S. 2 ff.).</w:t>
      </w:r>
    </w:p>
    <w:p>
      <w:r>
        <w:rPr>
          <w:b/>
        </w:rPr>
        <w:t>E. 3.1</w:t>
      </w:r>
    </w:p>
    <w:p>
      <w:r>
        <w:t>Nach Ablauf der Beschwerdefrist können Begehren einer Beschwerde nicht mehr erweitert, sondern höchstens präzisiert, eingeengt oder fallen gelassen werden (André Moser/Michael Beusch/Lorenz Kneubühler, Prozessieren vor dem Bundesverwaltungsgericht, 2. Aufl. 2013, S. 123 Rz. 2.218; Frank Seetaler/Fabia Bochsler, in: Praxiskommentar VwVG, 2009, Art. 52 N. 41). Die Beschwerdeführerin kann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Moser/Beusch/Kneubühler, a.a.O., S. 23 ff.). Auch wenn im Beschwerdeverfahren die angefochtene Verfügung beziehungsweise die im Verfügungsdispositiv geregelten Rechtsverhältnisse (vgl. BGE 125 V 413 E. 2a)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etwa Markus Müller, in: Kommentar zum Bundesgesetz über das Verwaltungsverfahren, Christoph Auer/Markus Müller/Benjamin Schindler [Hrsg.], 2008, Art. 44 VwVG N. 5).</w:t>
      </w:r>
    </w:p>
    <w:p>
      <w:r>
        <w:rPr>
          <w:b/>
        </w:rPr>
        <w:t>E. 3.2</w:t>
      </w:r>
    </w:p>
    <w:p>
      <w:r>
        <w:t>Indem die Beschwerdeführerin in ihrer Replik vom 14. November 2013 einen Teil der Anträge fallen gelassen hat, hat sie den Streitgegenstand eingeschränkt. Die vorgenommene Modifikation des Rechtsbegehrens ist daher ohne Weiteres zulässig. Formell angefochten bleibt damit zwar die gesamte Verfügung der Vorinstanz vom 28. Januar 2013, weil die Beschwerdeführerin deren Aufhebung und die Rückweisung der Streitsache zur Ermittlung der Fabrikabgabe- und der Publikumspreise im Sinne ihrer Begründung fordert. An der ursprünglich (eventualiter) geforderten gleichen Gewichtung des TQV und des APV bei der Beurteilung der Wirtschaftlichkeit und am Ausschluss der wechselkursbedingen Preisschwankungen hält die Beschwerdeführerin indes nicht mehr fest. An der Rüge des von ihr beanstandeten Vergleichs mit Arzneimitteln, welche nicht unter ihrer Kontrolle im Ausland vertrieben würden, hält sie demgegenüber fest. Gleiches gilt auch für die damit einhergehende Rüge der Verletzung von Art. 35 Abs. 1 und 35b Abs. 4 Bst. a KLV.</w:t>
      </w:r>
    </w:p>
    <w:p>
      <w:r>
        <w:rPr>
          <w:b/>
        </w:rPr>
        <w:t>E. 4.1</w:t>
      </w:r>
    </w:p>
    <w:p>
      <w:r>
        <w:t>In Bezug auf die Umsetzung der Bestimmungen betreffend die Spezialitätenliste haben Gesetz- und Verordnungsgeber dem BAG als rechtsanwendende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vom 1. September 2011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BVGer C-5926/2008 vom 11. September 2011 E. 3.5 und C-2263/2006 vom 7. November 2007 E. 5.1). Massgebend für einen Rückgriff auf das SL-Handbuch ist vorliegend in zeitlicher Hinsicht dessen Fassung vom 1. Januar 2012, welches in der Folge durch das neue SL-Handbuch vom 1. März 2013 ersetzt wurde.</w:t>
      </w:r>
    </w:p>
    <w:p>
      <w:r>
        <w:rPr>
          <w:b/>
        </w:rPr>
        <w:t>E. 4.2</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(BVGE 2009/61 E. 6.1, BVGE 2007/41 E. 2 mit Hinweisen: vgl. dazu auch Fritz Gygi, Bundesverwaltungsrechtspflege, 2. Aufl. 1983, S. 212). Dies gilt vorliegend insbesondere für die Frage, ob sich die massgeblichen Bestimmungen in der KVV und KLV auf eine hinreichende gesetzliche Grundlage zu stützen vermögen.</w:t>
      </w:r>
    </w:p>
    <w:p>
      <w:r>
        <w:rPr>
          <w:b/>
        </w:rPr>
        <w:t>E. 5</w:t>
      </w:r>
    </w:p>
    <w:p>
      <w:r>
        <w:t>Materiell umstritten und zu prüfen ist im vorliegenden Verfahren, ob das BAG einerseits zu Recht von der Festlegung eines FAP anhand eines therapeutischen Quervergleichs abgesehen hat und anderseits, ob sie den durchgeführten APV korrekt vorgenommen und gestützt darauf zu Recht eine Senkung der SL-Preise im vorstehend dargelegten Ausmass (vgl. Sachverhalt, Bst. A.g hievor) verfügt hat. Zunächst sind die Rechtsgrundlagen darzulegen; dahingehend, wie sie die Kostenübernahme für Arzneimittel durch die OKP regeln (vgl. E. 5.1 - 5.4), und nach welchen Kriterien die Wirtschaftlichkeit eines Arzneimittels im Allgemeinen (vgl. E. 5.5) und im Rahmen ordentlicher Überprüfungen beurteilt wird (vgl. E. 5.6 - 5.9).</w:t>
      </w:r>
    </w:p>
    <w:p>
      <w:r>
        <w:rPr>
          <w:b/>
        </w:rPr>
        <w:t>E. 5.1</w:t>
      </w:r>
    </w:p>
    <w:p>
      <w:r>
        <w:t>In der obligatorischen Krankenpflegeversicherung (OKP) wird der Leistungsbereich in den Art. 24 - 31 KVG und in den beiden Verordnungen KVV und KLV umschrieben. Nach Art. 24 KVG übernimmt die OKP die Kosten für die Leistungen gemäss den Art. 25 - 31 nach Massgabe der in den Art. 32 - 34 festgelegten Voraussetzungen. Damit wird das Kostenerstattungsprinzip verankert und ein abschliessender Leistungskatalog statuiert (Gebhard Eugster, Rechtsprechung des Bundesgerichts zum KVG, 2010, S. 116). Zu diesen von der OKP zu übernehmenden Leistungen zählen insbesondere auch die ärztlich verordneten Arzneimittel (Art. 25 Abs. 2 Bst. b KVG). Zwingende Voraussetzung für die Kostenübernahme durch die OKP ist, dass die Leistungen wirksam, zweckmässig und wirtschaftlich sind (Art. 32 Abs. 1 KVG). Die Erfordernisse der Wirksamkeit, Zweckmässigkeit und Wirtschaftlichkeit gehören zu den grundlegenden, kumulativ zu erfüllenden Voraussetzungen jeder Leistung (BGE 125 V 95 E. 2a). Diese allgemeinen Anspruchsvoraussetzungen müssen einerseits bei der Aufnahme der Leistungen in den Leistungskatalog, anderseits aber auch bei der Behandlung im Rahmen einer Diagnose oder Behandlung im Einzelfall gegeben sein (Eugster, a.a.O., S. 198). Im Einklang mit dieser Zielsetzung bestimmt Art. 43 Abs. 6 KVG, dass die Vertragspartner und die zuständigen Behörden darauf zu achten haben, dass eine qualitativ hochstehende und zweckmässige gesundheitliche Versorgung zu möglichst günstigen Konditionen erreicht wird. Das Wirtschaftlichkeitsgebot ist überdies in Art. 56 KVG verankert: Danach muss sich der Leistungserbringer in seinen Leistungen auf das Mass beschränken, das im Interesse des Versicherten liegt und für den Behandlungszweck erforderlich ist (Abs. 1). Für Leistungen, die über dieses Mass hinausgehen, kann die Vergütung verweigert werden (Abs. 2).</w:t>
      </w:r>
    </w:p>
    <w:p>
      <w:r>
        <w:rPr>
          <w:b/>
        </w:rPr>
        <w:t>E. 5.2</w:t>
      </w:r>
    </w:p>
    <w:p>
      <w:r>
        <w:t>Die nähere Bestimmung der Leistungen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65d Abs. 3 und Art. 75 KVV). Dieses hat in Art. 30 ff. KLV weitere Vorschriften über die Spezialitätenliste aufgestellt (vgl. insbesondere nachfolgend E. 5.5 und 5.7).</w:t>
      </w:r>
    </w:p>
    <w:p>
      <w:r>
        <w:rPr>
          <w:b/>
        </w:rPr>
        <w:t>E. 5.3</w:t>
      </w:r>
    </w:p>
    <w:p>
      <w:r>
        <w:t>Art. 32 Abs. 1 KVG postuliert als Voraussetzung für die Kostenübernahme unter anderem den Grundsatz der wirtschaftlichen Leistungserbringung. Die Wirtschaftlichkeit der Leistungserbringung wird dabei periodisch überprüft (Art. 32 Abs. 2 KVG). Im Bereich der Preis- und Tarifgestaltung ermächtigt Art. 43 Abs. 7 KVG den Bundesrat, Grundsätze für eine wirtschaftliche Bemessung und eine sachgerechte Struktur sowie für die Anpassung der Tarife zu erstellen (vgl. hierzu auch die allgemeine Kompetenznorm zum Erlass von Ausführungsbestimmungen in Art. 96 KVG).</w:t>
      </w:r>
    </w:p>
    <w:p>
      <w:r>
        <w:rPr>
          <w:b/>
        </w:rPr>
        <w:t>E. 5.4</w:t>
      </w:r>
    </w:p>
    <w:p>
      <w:r>
        <w:t>Gemäss Art. 52 Abs. 1 Bst. b KVG erstellt das Departement eine Liste der von der OKP zu vergütenden pharmazeutischen Spezialitäten und konfektionierten Arzneimittel mit Preisen (Spezialitätenliste; SL). Diese hat auch die mit den Originalpräparaten austauschbaren preisgünstigeren Generika zu enthalten (Art. 52 Abs. 1 Bst. b Satz 2 KVG). Die Arzneimittel werden auf der Spezialitätenliste (SL) geführt, welche das Bundesamt gemäss Art. 52 Abs. 1 Bst. b KVG nach Anhören der Arzneimittelkommission (EAK) und unter Berücksichtigung der Grundsätze nach Art. 32 Abs. 1 und 43 Abs. 6 KVG erstellt. Die Liste enthält für jede Packung und Dosierung den verfügten Höchstpreis (Publikumspreis, PP) und den Fabrikabgabepreis (FAP).</w:t>
      </w:r>
    </w:p>
    <w:p>
      <w:r>
        <w:rPr>
          <w:b/>
        </w:rPr>
        <w:t>E. 5.5</w:t>
      </w:r>
    </w:p>
    <w:p>
      <w:r>
        <w:t>Art. 65b KVV (in der ab 1. Oktober 2009 geltenden Fassung; AS 2009 4245) regelt die Beurteilung der Wirtschaftlichkeit im Allgemeinen. Danach gilt ein Arzneimittel als wirtschaftlich, wenn es die indizierte Heilwirkung mit möglichst geringem finanziellem Aufwand gewährleistet (Abs. 1). Die Wirtschaftlichkeit wird aufgrund des Vergleichs mit anderen Arzneimitteln und der Preisgestaltung im Ausland beurteilt (Abs. 2). Der Auslandpreisvergleich erfolgt summarisch, wenn er mangels Zulassung in den Vergleichsländern zum Zeitpunkt des Gesuchs um Aufnahme nicht oder nur unvollständig vorgenommen werden kann (Abs. 3). Die Kosten für die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Gemäss Art. 34 Abs. 2 KLV (in der seit 1. Juli 2002 geltenden Fassung; AS 2002 3013) werden für die Beurteilung der Wirtschaftlichkeit eines Arzneimittels berücksichtigt: a.dessen Fabrikabgabepreise im Ausland; b.dessen Wirksamkeit im Verhältnis zu anderen Arzneimitteln gleicher Indikation oder ähnlicher Wirkungsweise; c.dessen Kosten pro Tag oder Kur im Verhältnis zu den Kosten von Arzneimitteln gleicher Indikation oder ähnlicher Wirkungsweise. d.[...]. Die Wirtschaftlichkeit eines Arzneimittels beurteilt sich somit teils unter dem Gesichtspunkt der vergleichenden Wertung mehrerer zum gleichen Behandlungszweck zur Verfügung stehender Heilmittel (TQV als behandlungskostenbezogenes vergleichendes Element), teils nach der Höhe der Preise des in Frage stehenden Präparates an sich (APV als preisbezogenes Element). Der TQV (gemäss Art. 34 Abs. 2 Bst. b und c KLV) beinhaltet eine vergleichende Wertung diverser zum gleichen Behandlungszweck zur Verfügung stehender Arzneimittel. Für den Auslandpreisvergleich (gemäss Art. 34 Abs. 2 Bst. a KLV) gilt im Rahmen der ordentlichen Wirtschaftlichkeitsprüfung Art. 35 KLV ("Preisvergleich mit dem Ausland", in der seit 1. Mai 2012 geltenden Fassung; AS 2012 1769). Demnach darf der FAP eines Arzneimittels in der Regel den durchschnittlichen FAP (abzüglich der Mehrwertsteuer) dieses Arzneimittels in Ländern mit wirtschaftlich vergleichbaren Strukturen im Pharmabereich nicht überschreiten. Das BAG vergleicht mit Ländern, in denen der FAP aufgrund von Bestimmungen von Behörden oder Verbänden eindeutig bestimmt werden kann (Absatz 1). Verglichen wird mit Deutschland, Dänemark, Grossbritannien, den Niederlanden, Frankreich und Österreich. Es kann mit weiteren Ländern verglichen werden (Abs. 2). Die Zulassungsinhaberin teilt dem BAG den FAP der Referenzländer nach Abs. 2 mit. Sie ermittelt ihn aufgrund von Regelungen von Behörden oder Verbänden und lässt ihn von einer Behörde oder einem Verband bestätigen. Der FAP wird gestützt auf einen vom BAG ermittelten durchschnittlichen Wechselkurs über zwölf Monate in Schweizer Franken umgerechnet (Abs. 3). Der Auslandpreisvergleich soll ein externes (sozusagen "geografisches") Benchmarking erlauben, indem der Preis, der für ein Arzneimittel in der Schweiz gelten soll, mit dem Preis für das gleiche Arzneimittel in anderen Ländern verglichen wird (vgl. Thomas Gächter / Irene Vollenweider, Zur Preisdifferenzierung zwischen Originalpräparaten und Generika auf der Spezialitätenliste, HILL [Health Insurance Liability Law] 2005 II Nr. 11, Ziff. II.2.a f.; Josef Hunkeler, Prix et marges, in: Pietro Boschetti/Pierre Gobet/Josef Hunkeler/Georges Muheim, Le Prix des médicaments - L' Industrie pharmaceutique Suisse, Lausanne 2006, S. 118; Valérie Juneaud, Accès aus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5.6</w:t>
      </w:r>
    </w:p>
    <w:p>
      <w:r>
        <w:t>Die im Rahmen der Aufnahme eines Arzneimittels in die Spezialitätenlisten gestellten Anforderungen müssen während der gesamten Verweildauer des Arzneimittels auf der Spezialitätenliste erfüllt sein. Die Modalitäten im Zusammenhang mit der Überprüfung alle drei Jahre werden in Art. 65d KVV (in der seit 1. Mai 2012 geltenden Fassung; AS 2012 1767) geregelt. Diese Bestimmung unter dem Titel "Überprüfung der Aufnahmebedingungen alle drei Jahre" lautet wie folgt: "1Das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der Vergleich mit der Preisgestaltung im Ausland nicht möglich ist. 1ter Das Departement kann beim Auslandpreisvergleich eine Toleranzmarge vorsehen, mit der Wechselkursschwankungen berücksichtigt werden. 2Ergibt die Überprüfung der Wirtschaftlichkeit aufgrund der umsatzstärksten Packung, dass der geltende Höchstpreis zu hoch ist, so verfügt das BAG auf den 1. November des Überprüfungsjahres eine angemessene Preissenkung. 3Die Inhaberinnen der Zulassungen haben dem BAG alle notwendigen Unterlagen zuzustellen. Das Departement erlässt zum Verfahren der Überprüfung nähere Vorschriften."</w:t>
      </w:r>
    </w:p>
    <w:p>
      <w:r>
        <w:rPr>
          <w:b/>
        </w:rPr>
        <w:t>E. 5.7</w:t>
      </w:r>
    </w:p>
    <w:p>
      <w:r>
        <w:t>Die Modalitäten der dreijährlichen Überprüfung werden in Art. 35b KLV (Sachüberschrift "Überprüfung der Aufnahmebedingungen alle drei Jahre") in der seit 1. August 2010 geltenden Fassung (AS 2010 3249) wie folgt geregelt: "1Das BAG führt die Überprüfung der Fabrikabgabepreise der Originalpräparate nach Art. 65d Absatz 1 KVV einmal pro Kalenderjahr durch. Es überprüft dabei jeweils die Fabrikabgabepreise derjenigen Originalpräparate, die in absteigender Reihenfolge bis zum Jahr 1955 im Abstand von drei Jahren in die Spezialitätenliste aufgenommen wurden. 2Davon ausgenommen sind diejenigen Originalpräparate, die seit ihrer letzten Überprüfung aufgrund einer Indikationserweiterung nach Artikel 66 KVV oder einer Limitierungsänderung nach Artikel 66a KVV ausserhalb des Rhythmus nach Absatz 1 überprüft wurden. Das BAG führt die nächste Überprüfung dieser Originalpräparate im dritten Jahr nach der Überprüfung wegen einer Indikationserweiterung oder einer Limitierungsänderung durch. 3Massgebend für die Überprüfung ist das Aufnahmedatum der ersten Handelsform eines Wirkstoffes, der in dem Originalpräparat enthalten ist. 4Die Zulassungsinhaberin muss dem BAG bis zum 31. Mai des Überprüfungsjahres folgende Unterlagen einreichen: a.die von einer zeichnungsberechtigten Person der zuständigen Auslandsvertretung der Zulassungsinhaberin bestätigten, am 1. April des Überprüfungsjahres geltenden Fabrikabgabepreise aller Vergleichsländer nach Artikel 35 Absatz 2; b.bei der erstmaligen Überprüfung die Anzahl der seit der Aufnahme in die Spezialitätenliste verkauften Packungen des Originalpräparates in der Schweiz, für sämtliche Handelsformen einzeln ausgewiesen; c.aktualisierte Daten mit Angabe der gegenüber der vorausgegangenen Überprüfung veränderten Informationen zum Arzneimittel. 5Für die Ermittlung der Preise nach Absatz 4 Buchstabe a muss die Zulassungsinhaberin, die das zu überprüfende Originalpräparat vertreibt, dem BAG die umsatzstärkste Packung sämtlicher Handelsformen desselben Wirkstoffs während der letzten zwölf Monate in der Schweiz mitteilen. Das BAG kann die entsprechenden Umsatzzahlen einfordern.</w:t>
      </w:r>
    </w:p>
    <w:p>
      <w:r>
        <w:rPr>
          <w:b/>
        </w:rPr>
        <w:t>E. 5.8</w:t>
      </w:r>
    </w:p>
    <w:p>
      <w:r>
        <w:t>Das Bundesverwaltungsgericht hat in BVGE 2015/51 (E. 8.2 und E. 8.3) festgehalten, dass nach dem Willen des Gesetzgebers und der konstanten Praxis des Bundesgerichts bei der dreijährlichen Prüfung der Wirksamkeit, Zweckmässigkeit und Wirtschaftlichkeit von Arzneimitteln (gestützt auf Art. 65d Abs. 1bis Bst. a KVV [in der ab 1. Juni 2013 geltenden Fassung; AS 2013 1353]) dieselben Prüfkriterien wie bei der Aufnahme eines Arzneimittels in die Spezialitätenliste anzuwenden seien. Daraus folge, dass auch anlässlich der dreijährlichen Überprüfung dasselbe umfassende Prüfschema anzuwenden sei wie bei der Aufnahme eines Arzneimittels in die SL. Dies bedeute, dass die Wirtschaftlichkeitsprüfung nach Art. 32 KVG auf den beiden Elementen TQV und APV zu basieren habe, es sei denn, ein APV sei ausnahmsweise nicht möglich (Art. 65d Abs. 1bis KVV).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das heisst ein allenfalls gegebener therapeutischer Mehrwert eines Arzneimittels im Vergleich zu anderen Arzneimitteln gleicher Indikation oder ähnlicher Wirkungsweise völlig unberücksichtigt gelassen. Eine Prüfung allein gestützt auf den APV widerspreche einer gesetzeskonformen Wirtschaftlichkeitsprüfung. Art. 65d Abs. 1bis KVV beruhe damit nicht auf einer ausreichenden Rechtsgrundlage und das BAG habe mit dieser Regelung seine Vollzugskompetenzen überschritten. Es hob deshalb die im genannten Verfahren angefochtene Verfügung auf und wies die Sache zur Durchführung weiterer Abklärungen und zum Erlass einer neuen Verfügung im Sinne der Erwägungen an die Vorinstanz zurück.</w:t>
      </w:r>
    </w:p>
    <w:p>
      <w:r>
        <w:rPr>
          <w:b/>
        </w:rPr>
        <w:t>E. 5.9</w:t>
      </w:r>
    </w:p>
    <w:p>
      <w:r>
        <w:t>Eine vom BAG gegen dieses Grundsatzurteil erhobene Beschwerde hat das Bundesgericht mit BGE 142 V 26 abgewiesen. Zur Begründung hat das Bundesgericht im Wesentlichen ausgeführt, die vom Bundesamt gestützt auf Art. 65d Abs. 1bis KVV praktizierte eingeschränkte Prüfung der Wirtschaftlichkeit, welche allein auf einem Vergleich des FAP in der Schweiz mit dem Durchschnitt der FAP des grundsätzlich gleichen Arzneimittels in ausgewählten Vergleichsländern basiere, berücksichtige das Kosten-Nutzen-Verhältnis nicht. Insbesondere würden mit dem Verzicht auf die Durchführung des TQV (und der damit einhergehenden Kosten-Nutzen-Analyse) bei der dreijährlichen Überprüfung nach Art. 65d Abs. 1bis KVV allfällige Veränderungen in der SL, namentlich in Form von neuen, eventuell erheblich wirksameren Arzneimitteln oder von neuen Studien über die Wirkung des zu überprüfenden Arzneimittels, in der Regel gänzlich unbeachtlich bleiben. Für das vom Gesetzgeber ausdrücklich angestrebte Ziel, Leistungen auszusondern, die den kumulativen Anforderungen von Art. 32 Abs. 1 KVG nicht mehr entsprechen würden, stelle die auf den APV reduzierte Überprüfung gemäss Art. 65d Abs. 1bis KVV ein von vornherein untaugliches Instrument dar. Art. 65d Abs. 1bis KVV laufe deshalb der Zielsetzung von Art. 32 Abs. 2 KVG - der Sicherstellung, dass die Arzneimittel der SL die Kriterien der Wirksamkeit, Zweckmässigkeit und Wirtschaftlichkeit jederzeit erfüllen - zuwider (E. 5.4). Demnach halte Art. 65d Abs. 1bis KVV vor dem Legalitätsprinzip nicht stand. Deshalb habe das Bundesverwaltungsgericht das BAG zu Recht angewiesen, die Wirtschaftlichkeit unter Anwendung des APV und des TQV zu prüfen und hernach über die Preissenkung neu zu verfügen (E. 5.9).</w:t>
      </w:r>
    </w:p>
    <w:p>
      <w:r>
        <w:rPr>
          <w:b/>
        </w:rPr>
        <w:t>E. 6</w:t>
      </w:r>
    </w:p>
    <w:p>
      <w:r>
        <w:t>Zeigt der Vergleich des Fabrikabgabepreises der umsatzstärksten Packung in der Schweiz mit dem durchschnittlichen Fabrikabgabepreis der Referenzländer, dass eine Preissenkung vorgenommen werden muss, so wird der ermittelte Senkungssatz auf die Fabrikabgabepreise sämtlicher Handelsformen desselben Wirkstoffes angewendet. [7-10]."</w:t>
      </w:r>
    </w:p>
    <w:p>
      <w:r>
        <w:rPr>
          <w:b/>
        </w:rPr>
        <w:t>E. 6.1</w:t>
      </w:r>
    </w:p>
    <w:p>
      <w:r>
        <w:t>Mit Blick auf die Schlussfolgerungen im vorstehend dargelegten, vom Bundesgericht bestätigten BVGE 2015/51 steht fest, dass die vom BAG im Rahmen der dreijährlichen Prüfung allein gestützt auf den APV verfügte Preissenkung nicht auf einer ausreichenden Rechtsgrundlage beruht, was auch im vorliegenden Fall zur Aufhebung der angefochtenen Verfügung vom 28. Januar 2013 führt. Die Streitsache ist demnach an die Vorinstanz zur Vornahme einer neuen, umfassenden Wirtschaftlichkeitsprüfung im Sinne der vorstehenden E. 5.8 zurückzuweisen. Die Überprüfung der Aufnahmebedingungen wird dabei anhand von APV und TQV vorzunehmen sein.</w:t>
      </w:r>
    </w:p>
    <w:p>
      <w:r>
        <w:rPr>
          <w:b/>
        </w:rPr>
        <w:t>E. 6.2</w:t>
      </w:r>
    </w:p>
    <w:p>
      <w:r>
        <w:t>Nachdem der APV auch im Rahmen dieser neuen Prüfung zu berücksichtigen ist, drängt sich vorliegend überdies eine Prüfung der von der Beschwerdeführerin gegen den im konkreten Fall vorgenommenen APV erhobenen Einwendungen auf.</w:t>
      </w:r>
    </w:p>
    <w:p>
      <w:r>
        <w:rPr>
          <w:b/>
        </w:rPr>
        <w:t>E. 6.2.1</w:t>
      </w:r>
    </w:p>
    <w:p>
      <w:r>
        <w:t>Die Beschwerdeführerin rügt im Zusammenhang mit dem APV, die Vorinstanz verstosse gegen Art. 35 KLV, wenn sie gestützt auf Ziff. C.3.5 des SL-Handbuchs beim APV Arzneimittel berücksichtige, welche von einem von der Schweizer Zulassungsinhaberin vollkommen unabhängigen Drittunternehmen vertrieben würden. Für den Einbezug des Arzneimittels in den APV sei erforderlich, dass die Zulassungsinhaberin die Preisgestaltung in den Referenzländern überhaupt beeinflussen könne. Im vorliegenden Fall habe sie sämtliche Rechte am Präparat an ein von ihr vollkommen unabhängiges Drittunternehmen (D._______ GmbH) übertragen, wobei für die Herstellung, den Vertrieb und die Preisfestsetzung die E._______ GmbH allein zuständig sei (BVGer act. 26, S. 8). Deshalb könne für die zur Diskussion stehenden Medikamente ein APV nicht vorgenommen werden. Nach Art. 65 Abs. 1bis KVV habe eine Preisüberprüfung demnach allein aufgrund des TQV zu erfolgen. Wenn Art. 35b Abs. 4 Bst. a KLV statuiere, dass die von der Zulassungsinhaberin einzureichenden FAP von einer zeichnungsberechtigten Person der zuständigen Auslandsvertretung zu bestätigen seien, so setze diese Bestimmung zwingend die Möglichkeit der Zulassungsinhaberin voraus, Einfluss auf den Gegenstand der Vertretung zu nehmen. Eine solche Einflussmöglichkeit sei allerdings nicht mehr gegeben, wenn die Zulassungsinhaberin - wie hier - sämtliche Rechte am Arzneimittel für Österreich irreversibel an ein von ihr unabhängiges Drittunternehmen übertragen habe. Obwohl die Herstellungskosten für die Arzneimittel in Österreich deutlich tiefer ausfielen und deren Herstellung in der Schweiz unvorteilhaft sei, habe die Beschwerdeführerin den Produktionsstandort in der Schweiz auf Druck der Politik und der Wirtschaftsverbände beibehalten. Es könne nicht angehen, dass die höheren Produktionskosten in der Schweiz nicht berücksichtigt würden (BVGer act. 1, S. 13 ff., BVGer act. 20, S.5 ff. und BVGer act. 26, S. 6 ff.).</w:t>
      </w:r>
    </w:p>
    <w:p>
      <w:r>
        <w:rPr>
          <w:b/>
        </w:rPr>
        <w:t>E. 6.2.2</w:t>
      </w:r>
    </w:p>
    <w:p>
      <w:r>
        <w:t>Dagegen wendet die Vorinstanz ein, Art. 35b Abs. 4 Bst. a KLV verlange nicht, dass die Zulassungsinhaberinnen in der Schweiz und im Ausland identisch sein müssten. Art. 35 KLV sehe lediglich vor, dass mit denselben Arzneimitteln in Ländern mit wirtschaftlich vergleichbaren Strukturen im Pharmabereich verglichen werde. Ziff. C.3.5 des SL-Handbuchs schliesse nicht aus, dass in Fällen, in denen keine Auslandsvertretung der Zulassungsinhaberin in der Schweiz vorhanden sei, mit anderen Zulassungsinhaberinnen zu vergleichen sei, welche das Medikament in den Referenzländern vertreiben würden. Dass die Beschwerdeführerin keinen Einfluss auf die Preisbildung des Arzneimittels in den Referenzländern habe, schliesse den APV nicht aus. Es sei nirgends vorgeschrieben, dass der Einfluss der Zulassungsinhaberin auf die Preisbildung im Ausland für den APV relevant sei (BVGer act. 12, S. 9 ff., BVGer act. 22, S. 3 ff.). Aus Art. 35b Abs. 4 Bst. a KLV könne nur abgeleitet werden, dass die Zulassungsinhaberin dem BAG den FAP der Referenzländer mitzuteilen habe. Dass die Beschwerdeführerin alle Rechte am Präparat in den Referenzländern an Drittunternehmen verkauft habe, sei demnach nicht entscheidend. Tatsache sei, dass in Österreich die gleichen Arzneimittel (A._______ und A._______ [...andere Gamme]) vertrieben würden wie in der Schweiz. Ob dabei die Beschwerdeführerin auf die Herstellung und den Vertrieb von A._______ und A._______ (...andere Gamme) einen Einfluss habe, spiele keine Rolle. Schliesslich könne das BAG die Kriterien der Wirksamkeit, Zweckmässigkeit und Wirtschaftlichkeit jederzeit überprüfen (act. 22, S. 6 ff.). Die - im Vergleich zum Ausland - höheren Produktionskosten könnten nicht berücksichtigt werden, und die von der Beschwerdeführerin verlangte Standortförderung sei nicht Aufgabe der OKP. Die Wahl des Produktionsstandortes stelle einen unternehmerischen Entscheid dar, der im unternehmerischen Verantwortungs- und Risikobereich der Zulassungsinhaberin liege. Dazu habe sich das BAG nicht zu äussern.</w:t>
      </w:r>
    </w:p>
    <w:p>
      <w:r>
        <w:rPr>
          <w:b/>
        </w:rPr>
        <w:t>E. 6.3</w:t>
      </w:r>
    </w:p>
    <w:p>
      <w:r>
        <w:t>Die Argumentation der Beschwerdeführerin verfängt aus folgenden Gründen nicht:</w:t>
      </w:r>
    </w:p>
    <w:p>
      <w:r>
        <w:rPr>
          <w:b/>
        </w:rPr>
        <w:t>E. 6.3.1</w:t>
      </w:r>
    </w:p>
    <w:p>
      <w:r>
        <w:t>Der Zulassungsinhaberin obliegen nicht nur bei der Aufnahme, sondern auch bei der dreijährlichen Überprüfung erhebliche Mitwirkungspflichten (vgl. auch Art. 13 VwVG). So postuliert Art. 65d Abs. 3 Satz 1 KVV, dass diese dem BAG alle notwendigen Unterlagen zuzustellen hat. Den Erlass näherer Vorschriften zum Verfahren der Überprüfung hat der Bundesrat an das Departement delegiert (Art. 65d Abs. 3 Satz 2 KVV). Gestützt auf diese Delegationsnorm sieht Art. 35b Abs. 4 KLV insbesondere vor, dass die Zulassungsinhaberin dem BAG die von einer zeichnungsberechtigten Person der zuständigen Auslandvertretung der Zulassungsinhaberin bestätigten, am 1. April des Überprüfungsjahres geltenden FAP aller Vergleichsländer (gemäss Art. 35 Abs. 2 KLV) einzureichen hat (Bst. a). Hinsichtlich der Durchführung des APV auferlegt Art. 35 Abs. 3 KLV der Zulassungsinhaberin ferner die Pflicht, den FAP aufgrund von Regelungen von Behörden oder Verbänden zu ermitteln und ihn von einer Behörde oder einem Verband bestätigen zu lassen. Hinsichtlich der hier interessierenden Frage hat das EDI mit Erlass von Art. 35b Abs. 4 KLV eine Regelung getroffen, welche zwar grundsätzlich vom Bestehen einer rechtlichen oder wirtschaftlichen Beziehung zur schweizerischen Zulassungsinhaberin ausgeht. Wie es sich verhält, wenn diese Beziehung nicht (mehr) besteht, geht zwar aus Art. 35b Abs. 4 KLV nicht explizit hervor. Dass die FAP eines ausländischen Anbieters nur dann berücksichtigt werden könnten, wenn die inländische Zulassungsinhaberin aufgrund wirtschaftlicher und/oder rechtlicher Beziehungen zur Zulassungsinhaberin des Vergleichslandes Einfluss auf den ausländischen FAP nehmen kann, lässt sich allerdings aus der Systematik des Gesetzes respektive der Verordnungsbestimmung (KVV) nicht ableiten. Art. 35 Abs. 4 Bst. a KLV geht vielmehr vom Regelfall aus, wonach die Zulassungsinhaberin aufgrund ihrer wirtschaftlichen und/oder rechtlichen Verbindung (Konzernverhältnis, Lizenzvertrag etc.) weiterhin in Beziehung zur ausländischen Zulassungsinhaberin des Vergleichslandes steht. Allerdings greifen diese Mitwirkungspflichten grundsätzlich auch, wenn eine solche Beziehung nicht (mehr) besteht. Auch in diesen Fällen hat die Zulassungsinhaberin alles ihr Mögliche und Zumutbare zu unternehmen, um den APV im Vergleichsland zu ermöglichen. Dass in Fällen, wo die Zulassungsinhaberin das Arzneimittel mit allen hiermit verbundenen Rechten und Pflichten auf eine Drittperson im Ausland übertragen hat, ein APV nicht mehr zulässig sein soll, kann entgegen der Argumentation der Beschwerdeführerin nicht angenommen werden (vgl. dazu Urteil des BVGer C-356/2013 vom 24. November 2016 E. 7.5.1) .</w:t>
      </w:r>
    </w:p>
    <w:p>
      <w:r>
        <w:rPr>
          <w:b/>
        </w:rPr>
        <w:t>E. 6.3.2</w:t>
      </w:r>
    </w:p>
    <w:p>
      <w:r>
        <w:t>Wird darüber hinaus auch der Sinn und Zweck der Verordnungsbestimmung miteinbezogen, so wird klar, dass es vorliegend nicht um die Bekämpfung einer (allenfalls wettbewerbsrechtlich relevanten) missbräuchlichen Einflussnahme auf die Preise der in den Vergleichsländern vertriebenen Produkte geht. Im Gegenteil vermag gerade der Vergleich mit Arzneimittelpreisen von ausländischen Unternehmen, welche von der schweizerischen Zulassungsinhaberin unabhängig sind, das mit dem APV verfolgte Ziel noch besser zu gewährleisten; denn damit kann verhindert werden, dass die schweizerische Zulassungsinhaberin durch entsprechende Massnahmen (wie internationale Preispolitik und Preisabsprachen) starke Preissenkungen verhindert (vgl. dazu Gutachten Thomas Gächter/Arlette Meienberger, in: Evaluation der Zulassung und Überprüfung von Medikamenten in der obligatorischen Krankenpflegeversicherung - Materialien zum Bericht der Parlamentarischen Verwaltungskontrolle zuhanden der Geschäftsprüfungskommission des Ständerates vom 13. Juni 2013, Rz. 159 f., abrufbar unter &lt; http://www.parlament.ch/d/organe-mitglieder/kommissionen/parla-mentarische-verwaltungskontrolle/Documents/matx-medikamente-total.pdf &gt;, abgerufen am 13.12.2016). Folgte man der Argumentation der Beschwerdeführerin, liefe dies letztlich allein auf eine Missbrauchskontrolle hinaus. Das Bundesgericht hat jedoch bereits unter dem damals geltenden KUVG festgehalten, dass es bei der Wirtschaftlichkeitsprüfung nicht nur um die Verhinderung von Missbräuchen gehe (vgl. BGE 108 V 130 E. 8b mit Hinweise). Der Auslandpreisvergleich dient (zusammen mit dem TQV) vielmehr einer Form der Marktsimulation, da der Markt bei administrierten Preisen nicht spielt (vgl. dazu auch S. 15 ff. des Jahresberichts der Preisüberwachung aus dem Jahr 1995, abrufbar unter www.preisueberwacher.admin.ch &gt; Dokumentation &gt; Publikationen &gt; Jahresberichte, abgerufen am 13.12.2016; vgl. dazu auch [zur Publikation bestimmtes] Urteil des BGer 9C_737/2015 vom 13. Oktober 2016 E. 7.2; vgl. dazu auch Urteile des BVGer C-356/2013 vom 24. November 2016 E. 7.5.3; C-5914/2013 vom 26. September 2016 E. 7.3.2; C-6057/2014 vom 9. Mai 2016 E. 5.2.3 und C-32/2015 vom 17. August 2015 E. 6.2.3 und 6.2.4).</w:t>
      </w:r>
    </w:p>
    <w:p>
      <w:r>
        <w:rPr>
          <w:b/>
        </w:rPr>
        <w:t>E. 6.3.3</w:t>
      </w:r>
    </w:p>
    <w:p>
      <w:r>
        <w:t>Wenn in Ziff. C.3.5 des SL-Handbuchs ausgeführt wird, es werde grundsätzlich mit den gleichen Arzneimitteln desselben Unternehmens, einer Tochtergesellschaft oder einer Lizenznehmerin verglichen, so wird auch darin auf den Regelfall Bezug genommen, wonach die Zulassungsinhaberin regelmässig innerhalb international verflochtener Konzernstrukturen tätig ist. Ein APV ist allerdings auch dann zulässig, wenn das Arzneimittel auf einen Rechtsnachfolger (z.B. durch Fusion oder Verkauf der Vertriebsrechte) übertragen worden ist; eine entsprechend weit ausgelegte Mitwirkungspflicht steht Art. 65d Abs. 3 Satz 1 KVV nicht entgegen. So sieht dies auch Ziff. C.3.5 des SL-Handbuchs entsprechend vor, wenn darin ausgeführt wird, dass auch mit Arzneimitteln eines Rechtsnachfolgers (z.B. durch Fusion oder Verkauf der Vertriebsrechte) verglichen werden darf.</w:t>
      </w:r>
    </w:p>
    <w:p>
      <w:r>
        <w:rPr>
          <w:b/>
        </w:rPr>
        <w:t>E. 6.4.1</w:t>
      </w:r>
    </w:p>
    <w:p>
      <w:r>
        <w:t>Zu prüfen bleibt die Frage, ob ein APV auch dann zulässig ist, wenn das zur Diskussion stehende Medikament lediglich in einem Referenzland vertrieben wird.</w:t>
      </w:r>
    </w:p>
    <w:p>
      <w:r>
        <w:rPr>
          <w:b/>
        </w:rPr>
        <w:t>E. 6.4.2</w:t>
      </w:r>
    </w:p>
    <w:p>
      <w:r>
        <w:t>Gemäss Art. 35 Abs. 1 Satz 2 KLV vergleicht das BAG mit Ländern, in denen der FAP aufgrund von Bestimmungen von Behörde oder Verbänden eindeutig bestimmt werden kann. Nach Art. 35 Abs. 2 KLV wird grundsätzlich mit Deutschland, Dänemark, Grossbritannien, den Niederlanden, Frankreich und Österreich verglichen (Satz 1). Es kann auch mit anderen Ländern verglichen werden (Satz 2). Wird das infrage stehende Präparat - wie im vorliegenden Fall - lediglich in einem Land vertrieben, so ist ein APV im Sinne von Art. 35 Abs. 1 KLV grundsätzlich nach wie vor möglich und zulässig, zumal in den Länderkorb von Art. 35 Abs. 2 KLV nur Länder mit wirtschaftlich vergleichbaren Strukturen im Pharmabereich aufgenommen werden (Art. 35 Abs. 1 KLV). Die Beschwerdeführerin behauptet vorliegend nicht, dass die hier zur Diskussion stehenden Präparate neben Österreich auch noch in anderen Referenzländern (gemäss Art. 35 Abs. 2 KLV) auf dem Markt seien. Allerdings wurde die Frage bis dato offenbar nicht eingehend abgeklärt.</w:t>
      </w:r>
    </w:p>
    <w:p>
      <w:r>
        <w:rPr>
          <w:b/>
        </w:rPr>
        <w:t>E. 6.4.3</w:t>
      </w:r>
    </w:p>
    <w:p>
      <w:r>
        <w:t>Die Frage, ob ein APV durchgeführt werden darf, wenn (nur) mit dem Preis in einem Referenzland verglichen werden kann, wurde bisher weder vom Bundesgericht noch vom Bundesverwaltungsgericht abschliessend beantwortet. In ihrem Urteil RKSL 111/97 vom 30. September 1999 hat die Eidgenössische Rekurskommission für die Spezialitätenliste (nachfolgend: SL-Rekurskommission) ausgehend von den damals geltenden Verordnungsbestimmungen ausgeführt, dass das Kriterium der Auslandpreisgestaltung nur ein weiteres Zusatzkriterium für die Beurteilung der Wirtschaftlichkeit darstelle (E. 7). Eine Wirtschaftlichkeitsprüfung, in welche kein TQV einbezogen werde und die lediglich auf einem APV mit einem Vergleichsland beruhe, sei unzulässig. Denn dies führe offensichtlich zu einer einseitigen Schlussfolgerung, welche nicht hingenommen werden könne (E. 8). Ob dieser Entscheid für den vorliegenden Fall präjudiziell ist, ist schon deswegen fraglich, weil seither mehrere Revisionen einschlägiger Verordnungsbestimmungen erfolgt sind. Ausserdem wurde das BAG im besagten Urteil (hauptsächlich) angewiesen, (auch) einen TQV durchzuführen. Dessen Resultat würde neben dem APV der Wirtschaftlichkeitsprüfung zugrunde gelegt werden und das Resultat des APV relativieren. Mit Urteil C-6046/2014 vom 13. Dezember 2016 hat das Bundesverwaltungsgericht ausgeführt, dass nach der geltenden Rechtsprechung (vgl. dazu E. 5.8. und 5.9 hievor) wenn immer möglich sowohl ein TQV als auch ein APV durchzuführen sei. Diese Praxis spreche dafür, dass "im Ausnahmefall" ein APV auch nur mit einem Referenzland durchgeführt und darauf abgestellt werden könne. Hierfür spreche im Übrigen auch eine gewisse Parallelität zur Durchführung eines TQV, für welchen unter Umständen der Einbezug eines Vergleichspräparates ausreiche (E. 8.4.3 mit Hinweis auf BGE 137 V 295 E. 6.3.2). Nach Art. 35 Abs. 2 zweiter Satz KLV könne ein APV auch mit anderen (als den im ersten Satz aufgelisteten) Ländern vorgenommen werden. Aus den Akten gehe allerdings nicht hervor, dass die Parteien geprüft hätten, ob ein gleiches Arzneimittel in einem weiteren als den primären Referenzländern, das wirtschaftlich vergleichbare Strukturen im Pharmabereich aufweise (Art. 35 Abs. 1 KLV), im Handel sei und gegebenenfalls für den APV beigezogen werden könne (E. 8.4.4). Ob ein APV auch durchgeführt und in die Wirtschaftlichkeitsprüfung einfliessen könne, wenn nur ein Vergleichsland zur Verfügung steht und zugleich ein TQV vorgenommen wird, brauchte nicht abschliessend beurteilt zu werden, da die Streitsache zur Durchführung weiterer Abklärungen und Neubeurteilung an das BAG zurückzuweisen war (E. 8.5).</w:t>
      </w:r>
    </w:p>
    <w:p>
      <w:r>
        <w:rPr>
          <w:b/>
        </w:rPr>
        <w:t>E. 6.4.4</w:t>
      </w:r>
    </w:p>
    <w:p>
      <w:r>
        <w:t>Konkrete Belege oder Hinweise für die Annahme, dass der mit Österreich durchgeführte APV Elemente enthalten würde, welche einen solchen Vergleich angesichts der Besonderheiten dieses ausländischen Arzneimittels als unzulässig erscheinen liessen, sind aus den Akten nicht ersichtlich und werden auch nicht geltend gemacht. Die blosse Tatsache, dass die Produktionskosten in diesem Referenzland tiefer ausfallen, schliesst einen APV mit diesem Land auch dann nicht aus, wenn das Präparat - wie hier - mit tieferen Produktionskosten hergestellt wird. Allerdings braucht die Frage auch im vorliegenden Beschwerdeverfahren nicht abschliessend geklärt zu werden. Denn ob ein gleiches Arzneimittel in einem weiteren als den primären Referenzländern, das wirtschaftlich vergleichbare Strukturen im Pharmabereich aufweist (vgl. Art. 35 Abs. 1 KLV), im Handel ist und gegebenenfalls für den APV beizuziehen wäre, wurde auch vorliegend nicht abgeklärt. Diese Möglichkeit wird das BAG im Rahmen der weiteren Abklärungen und der neuen Beurteilung zu prüfen haben.</w:t>
      </w:r>
    </w:p>
    <w:p>
      <w:r>
        <w:rPr>
          <w:b/>
        </w:rPr>
        <w:t>E. 6.5</w:t>
      </w:r>
    </w:p>
    <w:p>
      <w:r>
        <w:t>Die von den Verfahrensbeteiligten aufgeworfene Frage, ob das BAG aufgrund einer allgemeinen Preissenkungskompetenz die Preise jederzeit einer Prüfung unterziehen könne (BVGer act. 12, S. 36 f., BVGer act. 20, S. 10 f., BVGer act. 22, S. 9, BVGer 26, S. 8), braucht vorliegend nicht entschieden zu werden, da die hier zur Diskussion stehende Beurteilung im Rahmen der dreijährlichen Überprüfung vorgenommen wurde.</w:t>
      </w:r>
    </w:p>
    <w:p>
      <w:r>
        <w:rPr>
          <w:b/>
        </w:rPr>
        <w:t>E. 6.6</w:t>
      </w:r>
    </w:p>
    <w:p>
      <w:r>
        <w:t>In Anbetracht der Rückweisung der Streitsache an die Vorinstanz kann darauf verzichtet werden, auf die Rügen der Verletzung der Wirtschaftsfreiheit (Art. 27 BV) und des Legalitätsprinzips (Art. 5 Abs. 1 BV) näher einzugehen.</w:t>
      </w:r>
    </w:p>
    <w:p>
      <w:r>
        <w:rPr>
          <w:b/>
        </w:rPr>
        <w:t>E. 7</w:t>
      </w:r>
    </w:p>
    <w:p>
      <w:r>
        <w:t>Zusammenfassend ergibt sich, dass bei der dreijährlichen Prüfung der Wirksamkeit, Zweckmässigkeit und Wirtschaftlichkeit von Arzneimitteln dieselben Prüfkriterien wie bei der Aufnahme eines Arzneimittels in die Spezialitätenliste anzuwenden sind; die Wirtschaftlichkeitsprüfung nach Art. 32 KVG hat dabei auf den beiden Elementen TQV und APV zu basieren. Die Vornahme des APV setzt nicht zwingend voraus, dass die ausländische Zulassungsinhaberin nach wie vor wirtschaftlich (z.B. als Konzerntochter) oder rechtlich (z.B. als Lizenznehmerin) mit der schweizerischen Zulassungsinhaberin verbunden ist. Im Rahmen der weiteren Abklärungen und Neubeurteilung wird das BAG auch zu prüfen haben, ob ein gleiches Arzneimittel in einem weiteren als den primären Referenzländern, das wirtschaftlich vergleichbare Strukturen im Pharmabereich aufweist, im Handel ist und gegebenenfalls für den APV beizuziehen ist. Aus den dargelegten Gründen ist die Beschwerde in dem Sinne gutzuheissen, dass die Angelegenheit, in Aufhebung der angefochtenen Verfügung an die Vorinstanz zur Vornahme einer umfassenden Prüfung der Aufnahmebedingungen, unter Einschluss von APV und TQV, und anschliessend neuer Verfügung zurückzuweisen ist.</w:t>
      </w:r>
    </w:p>
    <w:p>
      <w:r>
        <w:rPr>
          <w:b/>
        </w:rPr>
        <w:t>E. 8</w:t>
      </w:r>
    </w:p>
    <w:p>
      <w:r>
        <w:t>Zu befinden bleibt über die Verfahrenskosten und eine allfällige Parteientschädigung.</w:t>
      </w:r>
    </w:p>
    <w:p>
      <w:r>
        <w:rPr>
          <w:b/>
        </w:rPr>
        <w:t>E. 8.1</w:t>
      </w:r>
    </w:p>
    <w:p>
      <w:r>
        <w:t>Das Bundesverwaltungsgericht auferlegt gemäss Art. 63 Abs. 1 und Abs. 3 VwVG die Verfahrenskosten in der Regel der unterliegenden Partei. Eine Rückweisung gilt praxisgemäss als Obsiegen der beschwerdeführenden Partei,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8.2.1</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w:t>
      </w:r>
    </w:p>
    <w:p>
      <w:r>
        <w:rPr>
          <w:b/>
        </w:rPr>
        <w:t>E. 8.2.2</w:t>
      </w:r>
    </w:p>
    <w:p>
      <w:r>
        <w:t>Gemäss Kostennote vom 1. Juli 2014 macht die Beschwerdeführerin einen Vertretungsaufwand von 68.20 Stunden, Stundenansätze von Fr. 400.- für Rechtsanwalt Dr. Markus Schott respektive Fr. 300.- für Rechtsanwältin Fabienne Gribi sowie Mehrwertsteuer von Fr. 1'925.20.- (8 % von Fr. 16'550.-) geltend (Beilage zu BVGer act. 30). Im Einzelnen werden im Zusammenhang mit der Beschwerde ein Arbeitsaufwand von 18.80 Stunden (ohne Korrespondenzen und Telefonate), für die Ausarbeitung der Replik (ohne Telefonate und ohne Korrespondenzen) auch 18.80 Stunden und für die Erstellung der Triplik 18.50 Stunden geltend gemacht. Der Ersatz von Auslagen wird nicht verlangt. Zunächst ist festzuhalten, dass die Notwendigkeit einer Vertretung durch zwei Rechtsanwälte weder ersichtlich noch begründet ist. Der durch diese Doppelvertretung verursachte zusätzliche Aufwand kann daher nicht entschädigt werden. Sodann erscheint der für die Erstellung der Replik und der Triplik geltend gemachte Aufwand, der verglichen mit dem Aufwand für die Erstellung der Beschwerdeschrift praktisch gleich hoch ausfällt, als überhöht, zumal der massgebliche Sachverhalt und die sich stellenden Rechtsfragen mehrheitlich bereits im vorinstanzlichen Verfahren dargelegt wurden, in erster Linie Gegenstand der Beschwerdeschrift bilden und dort auch vorgebracht wurden. Der Aufwand für blosse Wiederholungen von bereits in der Beschwerdeschrift Dargelegtem ist jedenfalls nicht zu entschädigen. Das vorliegende Verfahren weist zudem im Quervergleich mit ähnlichen Fällen weder eine besondere Bedeutung noch ausserordentliche Schwierigkeiten auf. Der Aktenumfang ist durchschnittlich. Es wurde zwar ein dreifacher Schriftenwechsel geführt, allerdings stellten sich vorliegend im Wesentlichen dieselben Rechtsfragen wie in den weiteren von der Beschwerdeführerin vor Bundesverwaltungsgericht angefochtenen Fällen (vgl. dazu insbesondere Verfahrens-Nrn. C-32/2013; C-34/2013 und C-35/2013). Unter Berücksichtigung des gebotenen und aktenkundigen Aufwands, der Bedeutung der Streitsache und der Schwierigkeit der vorliegend zu beurteilenden Fragen, ist der Beschwerdeführerin zu Lasten der Vorinstanz eine Parteientschädigung von Fr. 8'000.- (inkl. Mehrwertsteuerzuschlag im Sinne von Art. 9 Abs. 1 Bst. c VGKE) als angemessen zuzusprechen.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