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C-1122/2019 vom 2. August 2021</w:t>
      </w:r>
    </w:p>
    <w:p>
      <w:r>
        <w:t>Bundesverwaltungsgericht, 2021-08-02, DE</w:t>
      </w:r>
    </w:p>
    <w:p>
      <w:r>
        <w:rPr>
          <w:b/>
        </w:rPr>
        <w:t xml:space="preserve">Quelle: </w:t>
      </w:r>
      <w:r>
        <w:t>https://mcp.opencaselaw.ch/entscheid/bvger_C-1122_2019</w:t>
      </w:r>
    </w:p>
    <w:p>
      <w:r>
        <w:t>FR: TAF C-1122/2019 du 2 août 2021</w:t>
      </w:r>
    </w:p>
    <w:p>
      <w:r>
        <w:t>IT: TAF C-1122/2019 del 2 agosto 2021</w:t>
      </w:r>
    </w:p>
    <w:p>
      <w:pPr>
        <w:pStyle w:val="Heading2"/>
      </w:pPr>
      <w:r>
        <w:t>Regeste</w:t>
      </w:r>
    </w:p>
    <w:p>
      <w:r>
        <w:t>Rückvergütung von Beiträgen</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85bis Abs. 1 des Bundesgesetzes über die Alters- und Hinterlassenenversicherung vom 20. Dezember 1946 (AHVG; SR 831.10) ist das Bundesverwaltungsgericht zur Beurteilung der vorliegenden Beschwerde zuständig.</w:t>
      </w:r>
    </w:p>
    <w:p>
      <w:r>
        <w:rPr>
          <w:b/>
        </w:rPr>
        <w:t>E. 1.2</w:t>
      </w:r>
    </w:p>
    <w:p>
      <w:r>
        <w:t>Das Verfahren vor Bundesverwaltungsgericht richtet sich grundsätzlich nach dem VwVG (vgl. Art. 37 VGG). Vorbehalten bleiben gemäss Art. 3 Bst. dbis VwVG die besonderen Bestimmungen des Bundesgesetzes vom 6. Oktober 2000 über den Allgemeinen Teil des Sozialversicherungsrechts (ATSG, SR 830.1).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 Adressatin ist die Beschwerdeführerin vom angefochtenen Einspracheentscheid vom 14. Januar 2019 (act. 6) berührt und kann sich auf ein schutzwürdiges Interesse an dessen Aufhebung oder Änderung berufen (Art. 59 ATSG; Art. 48 Abs. 1 VwVG). Zusammenfassend ergibt sich, dass auf die frist- und formgerecht eingereichte Beschwerde (Art. 60 ATSG; Art. 50 Abs. 1 und Art. 52 Abs. 1 sowie Art. 63 Abs. 4 VwVG) einzutreten ist.</w:t>
      </w:r>
    </w:p>
    <w:p>
      <w:r>
        <w:rPr>
          <w:b/>
        </w:rPr>
        <w:t>E. 1.4</w:t>
      </w:r>
    </w:p>
    <w:p>
      <w:r>
        <w:t>Anfechtungsobjekt und damit Begrenzung des Streitgegenstandes des vorliegenden Beschwerdeverfahrens (vgl. BGE 131 V 164 E. 2.1) bildet der - die Verfügung vom 24. August 2018 (act. 4) ersetzende (vgl. hierzu BGE 142 V 337 E. 3.2.1 mit Hinweisen) - Einspracheentscheid vom 14. Januar 2019 (act. 6), mit welchem das Gesuch der Beschwerdeführerin um Rückvergütung der an die schweizerische AHV geleisteten Sozialversicherungsbeiträge abgewiesen worden ist. Strittig und zu prüfen ist die Rechtmässigkeit dieses Entscheids und in diesem Zusammenhang insbesondere, ob der Anspruch auf Rückvergütung verjährt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gesetzlichen Normen und Rechtsgrundsätze darzustellen.</w:t>
      </w:r>
    </w:p>
    <w:p>
      <w:r>
        <w:rPr>
          <w:b/>
        </w:rPr>
        <w:t>E. 2.1</w:t>
      </w:r>
    </w:p>
    <w:p>
      <w:r>
        <w:t>Ausländer sowie ihre Hinterlassenen haben gemäss Art. 18 Abs. 2 AHVG grundsätzlich nur Anspruch auf eine Alters- oder Hinterlassenenrente, solange sie ihren Wohnsitz und gewöhnlichen Aufenthalt in der Schweiz haben (Satz 1). Eine zwischenstaatliche Vereinbarung, die den Export einer Altersrente vorsieht, besteht zwischen der Russischen Föderation und der Schweiz nicht (vgl. hierzu die Liste der Sozialversicherungsabkommen der Schweiz mit zahlreichen Staaten; abrufbar unter www.bsv.admin.ch &gt; Sozialversicherungen &gt; Internationale Sozialversicherung &gt; Grundlagen und Abkommen &gt; Sozialversicherungsabkommen; zuletzt aufgerufen am 10. Juni 2021).</w:t>
      </w:r>
    </w:p>
    <w:p>
      <w:r>
        <w:rPr>
          <w:b/>
        </w:rPr>
        <w:t>E. 2.2</w:t>
      </w:r>
    </w:p>
    <w:p>
      <w:r>
        <w:t>Nach Art. 18 Abs. 3 AHVG können den Ausländern, die ihren Wohnsitz im Ausland haben und mit deren Heimatstaat keine zwischenstaatliche Vereinbarung besteht, sowie ihren Hinterlassenen die gemäss den Art. 5, 6, 8, 10 oder 13 bezahlten Beiträge rückvergütet werden (Satz 1). Satz 2 beauftragt den Bundesrat zur Regelung der Einzelheiten, insbesondere das Ausmass der Rückvergütung. Dazu hat der Bundesrat die Verordnung vom 29. November 1995 über die Rückvergütung der von Ausländern an die Alters- und Hinterlassenenversicherung bezahlten Beiträge (RV-AHV; SR 831.131.12) erlassen.</w:t>
      </w:r>
    </w:p>
    <w:p>
      <w:r>
        <w:rPr>
          <w:b/>
        </w:rPr>
        <w:t>E. 2.3</w:t>
      </w:r>
    </w:p>
    <w:p>
      <w:r>
        <w:t>Gemäss Art. 21 Abs. 1 Bst. a AHVG in der auf den 1. Januar 1997 in Kraft gesetzten Fassung der 10. AHV-Revision (AS 1996 2466; BBl 1990 II 1) haben Männer, welche das 65. Altersjahr vollendet haben, Anspruch auf eine Altersrente. Frauen haben nach Vollendung des 64. Altersjahrs Anspruch auf eine Altersrente (Art. 21 Abs. 1 Bst. b AHVG). Gemäss Art. 21 Abs. 2 AHVG entsteht der Anspruch auf die Altersrente am ersten Tag des Monats, welcher der Vollendung des gemäss Abs. 1 massgebenden Altersjahres folgt. Er erlischt mit dem Tod. Gemäss Bst. d der Schlussbestimmungen der Änderung vom 7. Oktober 1994 [10. AHV-Revision; AS 1996 2466 Ziff. II 1; BBl 1990 II 1) wurde eine Abstufung eingeführt, indem das Rentenalter der Frau vier Jahre nach Inkrafttreten der 10. AHV-Revision auf 63 und acht Jahre danach auf 64 Jahre erhöht wurde.</w:t>
      </w:r>
    </w:p>
    <w:p>
      <w:r>
        <w:rPr>
          <w:b/>
        </w:rPr>
        <w:t>E. 2.4</w:t>
      </w:r>
    </w:p>
    <w:p>
      <w:r>
        <w:t>Art. 1 Abs. 1 RV-AHV setzt für eine Rückvergütung der entrichteten AHV-Beiträge - ergänzend bzw. konkretisierend zu Art. 18 Abs. 3 AHVG - voraus, dass diese Beiträge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Rückvergütet werden nur die tatsächlich bezahlten Beiträge. Zinsen werden vorbehältlich Art. 26 Abs. 2 ATSG keine geleistet (Art. 4 Abs. 1 RV-AHV). Aus rückvergüteten Beiträgen und den entsprechenden Beitragszeiten können gegenüber der AHV und der IV keine Rechte abgeleitet werden. Die Wiedereinzahlung der Beiträge ist ausgeschlossen (Art. 6 RV-AHV).</w:t>
      </w:r>
    </w:p>
    <w:p>
      <w:r>
        <w:rPr>
          <w:b/>
        </w:rPr>
        <w:t>E. 2.5</w:t>
      </w:r>
    </w:p>
    <w:p>
      <w:r>
        <w:t>Nach Art. 7 RV-AHV geht der Anspruch auf Rückvergütung unter mit dem Tod des Berechtigten. Er verjährt mit dem Ablauf von fünf Jahren seit dem Versicherungsfall.</w:t>
      </w:r>
    </w:p>
    <w:p>
      <w:r>
        <w:rPr>
          <w:b/>
        </w:rPr>
        <w:t>E. 2.6</w:t>
      </w:r>
    </w:p>
    <w:p>
      <w:r>
        <w:t>Hinsichtlich der Dauer der Beitragsleistung und der Höhe der Beiträge wird grundsätzlich auf die individuellen Konten abgestellt, in welche die für die Berechnung der ordentlichen Renten erforderlichen Angaben eingetragen werden (vgl. Art. 30ter Abs. 1 AHVG; Art. 137 ff. der Verordnung über die Alters- und Hinterlassenenversicherung vom 31. Oktober 1947 [AHVV; SR 831.101]; zu den Voraussetzungen einer Kontenberichtigung siehe Art. 141 AHVV und BGE 117 V 261 E. 3a).</w:t>
      </w:r>
    </w:p>
    <w:p>
      <w:r>
        <w:rPr>
          <w:b/>
        </w:rPr>
        <w:t>E. 3.1</w:t>
      </w:r>
    </w:p>
    <w:p>
      <w:r>
        <w:t>Gemäss Bst. d der Schlussbestimmungen der Änderung vom 7. Oktober 1994 wurde das Rentenalter der Frauen auf den 1.Januar 2001 auf 63 und ab Jahrgang 1942 auf den 1. Januar 2005 von 63 auf 64 erhöht (vgl. E. 2.3 hiervor; vgl. hierzu auch Urteil des BGer 9C_1024/2010 vom 2. September 2011 E. 3.3 und 4.4.2). Für die am 12. Mai 1942 geborene Beschwerdeführer ist somit das Rentenalter 64 massgebend. Sie erreichte dieses Alter am 12. Mai 2006, und zu diesem Zeitpunkt ist gemäss Art. 21 Abs. 1 Bst. b AHVG der Versicherungsfall Alter eingetreten (vgl. E. 2.3 hiervor). Wie vorstehend bereits dargelegt (vgl. E. 2.5 hiervor), verjährt der Anspruch auf Rückvergütung gemäss Art. 7 RV-AHV mit dem Ablauf von fünf Jahren seit Eintritt des Versicherungsfalls, wobei es sich entgegen dem Wortlaut um eine Verwirkungsfrist handelt (vgl. hierzu Urteil des BGer 9C_847/2008 vom 21. August 2009 E. 1 mit weiteren Hinweisen). Zufolge dieser Verwirkungsfrist hätte die Beschwerdeführerin den Antrag auf Rückerstattung der Beiträge spätestens bis Ende Mai 2011 bei der SAK einreichen müssen (Art. 7 RV-AHV; vgl. hierzu auch Urteil des BVGer C-409/2008 vom 30. Juni 2009 E. 4.6).</w:t>
      </w:r>
    </w:p>
    <w:p>
      <w:r>
        <w:rPr>
          <w:b/>
        </w:rPr>
        <w:t>E. 3.2</w:t>
      </w:r>
    </w:p>
    <w:p>
      <w:r>
        <w:t>Unter den Parteien ist unbestritten, dass die Beschwerdeführerin den Antrag auf Rückvergütung erst am 15. Mai 2018 gestellt hatte, was mit Blick auf die vorliegenden Akten auch vom Bundesverwaltungsgericht nicht in Zweifel zu ziehen ist (act. 1 und 2). Aufgrund des vorstehend Dargelegten war der Anspruch der Beschwerdeführerin auf Rückvergütung der an die AHV geleisteten Beiträge im Zeitpunkt der Gesuchstellung somit längst verwirkt. Daran vermögen die diesbezüglichen Ausführungen von ihr resp. ihres Ehemannes (keine Bevollmächtigung einer unbekannten Person, Zuwarten mit der Einreichung des Gesuchs bis nach Beendigung der Erwerbstätigkeit in der Heimat zufolge Währungsinstabilität in Russland) nichts zu ändern, obwohl sie für das Bundesverwaltungsgericht durchaus verständlich und nachvollziehbar sind.</w:t>
      </w:r>
    </w:p>
    <w:p>
      <w:r>
        <w:rPr>
          <w:b/>
        </w:rPr>
        <w:t>E. 3.3</w:t>
      </w:r>
    </w:p>
    <w:p>
      <w:r>
        <w:t>Soweit die Beschwerdeführerin geltend machen sollte, die SAK (oder eine andere Bundesbehörde) hätte die Informationspflichten bezüglich der Änderungen in der Schweizer Gesetzgebung verletzt, ist sie darauf hinzuweisen, dass Art. 27 Abs. 1 ATSG zwar eine allgemeine und permanente Aufklärungspflicht der Versicherungsträger und Durchführungsorgane stipuliert, die nicht erst auf persönliches Verlangen der interessierten Person zu erfolgen hat. Jedoch wird diese Aufklärungspflicht hauptsächlich durch die Abgabe von Informationsbroschüren, Merkblättern und Wegleitungen erfüllt (BGE 131 V 472 E. 4.1; SVR 2012 ALV Nr. 3 S. 6 E. 5.1.1). Insofern hätte sich die im Verkehr mit den Behörden an Treu und Glauben gebundene (vgl. hierzu BGE 143 V 66 E. 4.3 und BGE 137 V 394 E. 7.1) Beschwerdeführerin bei der SAK über einen allfälligen Anspruch auf Rückvergütung entsprechend informieren können und müssen (vgl. hierzu auch Urteil des BVGer C-409/2008 vom 30. Juni 2009 E. 4.7), zumal sie von dieser im konkreten Einzelfall eine unentgeltliche Beratung über ihre Rechte und Pflichten sowie eine allfällige Gefährdung ihres Leistungsanspruchs hätte verlangen können (BGE 131 V 472 E. 4.1 und E. 4.3; SVR 2012 ALV Nr. 3 S. 7 E. 5.1.2). Da die SAK bei einem durchschnittlichen Mass an Aufmerksamkeit angesichts der zahlreichen Versicherten nicht hatte erkennen können, dass der Leistungsanspruch der Beschwerdeführerin gefährdet war, trifft sie keine Beratungspflicht (BGE 133 V 249 E. 7.2), denn es kann von ihr nicht verlangt werden, dass sie die Versicherten über alle auch nur theoretisch denkbaren Ansprüche informiert (SVR 2013 AHV Nr. 12 S. 48 E. 3.3). Hinzu kommt schliesslich, dass Gesetze mit der amtlichen Publikation des Textes grundsätzlich als bekannt gelten und die Beschwerdeführerin aus ihrer eigenen Rechtsunkenntnis keinerlei Vorteile ableiten kann (BGE 136 V 331 E. 4.2.3.1). Im Übrigen darf von ihr ein gewisses Minimum an Achtsamkeit verlangt werden (ZAK 1991 S. 375 E. 3c), zumal sie resp. ihr Ehemann früh genug auf die Möglichkeit einer Rückforderung von geleisteten AHV-Beiträgen hingewiesen worden war (B-act. 1 Beilage 1).</w:t>
      </w:r>
    </w:p>
    <w:p>
      <w:r>
        <w:rPr>
          <w:b/>
        </w:rPr>
        <w:t>E. 3.4</w:t>
      </w:r>
    </w:p>
    <w:p>
      <w:r>
        <w:t>Die verheiratete Beschwerdeführerin wohnte unbestrittenermassen vom 1. Mai 1972 bis zum 30. Juni 1977 zusammen mit ihrem Ehemann in F._______ und ging während dieser Zeit - im Gegensatz zu ihrem Ehemann - keiner Erwerbstätigkeit nach (act. 1 S. 2). Im Zeitpunkt der damaligen Gesetzgebung waren gemäss aArt. 3 Abs. 2 lit. b AHVG (aufgehoben durch Ziffer I des BG vom 7. Okt. 1994 [10. AHV-Revision]; mit Wirkung seit 1. Jan. 1997 [AS 1996 2466; BBl 1990 II 1]) die nichterwerbstätigen Ehefrauen von Versicherten - vorliegend der Ehemann der Beschwerdeführerin - von der Beitragspflicht befreit. Nichterwerbstätige Ehegatten - wie die Beschwerdeführerin - waren erst seit dem im Rahmen der 10. AHV-Revision am 1. Januar 1997 in Kraft getretenen Art. 3 Abs. 3 AHVG und somit beinahe 20 Jahre nach dem Wegzug der Beschwerdeführerin aus der Schweiz nicht mehr beitragsbefreit (BGE 125 V 377 E. 2b und 2c). Insofern dürfte es in Übereinstimmung mit den Ausführungen der Vorinstanz zutreffen, dass für die Beschwerdeführerin keine AHV-Beiträge abgerechnet worden waren. Mit Blick auf die Verwirkung des Anspruchs auf die an die AHV geleisteten Beiträge im Zeitpunkt der Gesuchstellung kann diese Frage letztlich jedoch offengelassen werden.</w:t>
      </w:r>
    </w:p>
    <w:p>
      <w:r>
        <w:rPr>
          <w:b/>
        </w:rPr>
        <w:t>E. 4</w:t>
      </w:r>
    </w:p>
    <w:p>
      <w:r>
        <w:t>Aufgrund der vorstehenden Erwägungen erweist sich der angefochtene Einspracheentscheid vom 14. Januar 2019 als rechtens, weshalb die dagegen erhobene Beschwerde vom 18. Februar 2019 als unbegründet abzuweisen ist.</w:t>
      </w:r>
    </w:p>
    <w:p>
      <w:r>
        <w:rPr>
          <w:b/>
        </w:rPr>
        <w:t>E. 5</w:t>
      </w:r>
    </w:p>
    <w:p>
      <w:r>
        <w:t>Zu befinden bleibt noch über die Verfahrenskosten und eine allfällige Parteientschädigung.</w:t>
      </w:r>
    </w:p>
    <w:p>
      <w:r>
        <w:rPr>
          <w:b/>
        </w:rPr>
        <w:t>E. 5.1</w:t>
      </w:r>
    </w:p>
    <w:p>
      <w:r>
        <w:t>Das Beschwerdeverfahren ist für die Parteien kostenlos (Art. 85bis Abs. 2 AHVG), sodass keine Verfahrenskosten zu erheben sind.</w:t>
      </w:r>
    </w:p>
    <w:p>
      <w:r>
        <w:rPr>
          <w:b/>
        </w:rPr>
        <w:t>E. 5.2</w:t>
      </w:r>
    </w:p>
    <w:p>
      <w:r>
        <w:t>Weder die obsiegende Vorinstanz noch die unterliegende Beschwerdeführerin haben einen Anspruch auf Parteientschädigung (Art. 7 Abs. 1 und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