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C-1110/2007 vom 4. September 2007</w:t>
      </w:r>
    </w:p>
    <w:p>
      <w:r>
        <w:t>Bundesverwaltungsgericht, 2007-09-04, DE</w:t>
      </w:r>
    </w:p>
    <w:p>
      <w:r>
        <w:rPr>
          <w:b/>
        </w:rPr>
        <w:t xml:space="preserve">Quelle: </w:t>
      </w:r>
      <w:r>
        <w:t>https://mcp.opencaselaw.ch/entscheid/bvger_C-1110_2007</w:t>
      </w:r>
    </w:p>
    <w:p>
      <w:r>
        <w:t>FR: TAF C-1110/2007 du 4 septembre 2007</w:t>
      </w:r>
    </w:p>
    <w:p>
      <w:r>
        <w:t>IT: TAF C-1110/2007 del 4 settembre 2007</w:t>
      </w:r>
    </w:p>
    <w:p>
      <w:pPr>
        <w:pStyle w:val="Heading2"/>
      </w:pPr>
      <w:r>
        <w:t>Regeste</w:t>
      </w:r>
    </w:p>
    <w:p>
      <w:r>
        <w:t>Zwangsanschluss an die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Auffangeinrichtung, zumal diese im Bereiche der beruflichen Vorsorge öffentlich-rechtliche Aufgaben des Bundes erfüllt und somit zu den Vorinstanzen des Bundesverwaltungsgerichts gehört (Art. 33 lit. h VGG). Eine Ausnahme, was das Sachgebiet angeht, ist in casu nicht gegeben (Art. 32 VGG).</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VGG).</w:t>
      </w:r>
    </w:p>
    <w:p>
      <w:r>
        <w:rPr>
          <w:b/>
        </w:rPr>
        <w:t>E. 2</w:t>
      </w:r>
    </w:p>
    <w:p>
      <w:r>
        <w:t>Anfechtungsgegenstand des vorliegenden Verfahrens ist der Verwaltungsakt der Auffangeinrichtung vom 30. Januar 2007, welcher eine Verfügung im Sinne von Art. 5 Abs. 1 VwVG darstellt. Die Beschwerdeführerin hat frist- und formgerecht (Art. 50 und 52 VwVG) Beschwerde erhoben. Durch die Verfügung ist sie besonders berührt und hat ein schutzwürdiges Interesse an deren Änderung oder Aufhebung (Art. 48 Abs. 1 lit. b und c VwVG). Nachdem auch der eingeforderte Kostenvorschuss fristgerecht geleistet wurde, ist auf das ergriffene Rechtsmittel einzutreten.</w:t>
      </w:r>
    </w:p>
    <w:p>
      <w:r>
        <w:rPr>
          <w:b/>
        </w:rPr>
        <w:t>E. 3</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4.1</w:t>
      </w:r>
    </w:p>
    <w:p>
      <w:r>
        <w:t>Obligatorisch zu versichern ist jeder Arbeitnehmer, der das 17. Altersjahr vollendet hat und bei einem Arbeitgeber mehr als den gesetzlichen Jahres-Mindestlohn gemäss Art. 2 Abs. 1 BVG in Verbindung mit Art. 5 Abs. 2 der Verordnung über die berufliche Alters-, Hinterlassenen- und Invalidenvorsorge vom 18. April 1984 (BVV 2; SR 831.441.1) erzielt und bei der AHV versichert ist (Art. 5 Abs. 1 BVG). Mit Inkrafttreten des BVG am 1. Januar 1985 betrug dieser (Jahres-)Mindestlohn Fr. 16'560.--. Seitdem ist er verschiedene Male angehoben worden. Am 1. Januar 2003 erhöhte er sich auf Fr. 25'320.--. Per 1. Januar 2005 wurde er im Zuge der 1. BVG-Revision auf Fr. 19'350.-- festgelegt. Art. 11 Abs. 1 BVG bestimmt, dass sich der Arbeitgeber, der obligatorisch zu versicherndes Personal beschäftigt, eine in das Register für die berufliche Vorsorge eingetragene Vorsorgeeinrichtung zu errichten oder sich einer solchen anzuschliessen hat. Die Ausgleichskassen der AHV überprüfen, ob die von ihnen erfassten Arbeitgeber einer Vorsorgeeinrichtung angeschlossen sind (Art. 11 Abs. 4 BVG). Kommt der Arbeitgeber der Aufforderung der Ausgleichskasse nicht nach, sich bei entsprechender Pflicht einer registrierten Vorsorgeeinrichtung anzuschliessen, meldet diese ihn an die Auffangeinrichtung, welche gemäss Art. 60 Abs. 2 BVG verpflichtet ist, Arbeitgeber, die ihrer Pflicht nicht nachkommen, zwangsweise anzuschliessen - und zwar rückwirkend auf den Zeitpunkt, in dem er obligatorisch zu versichernde Arbeitnehmer beschäftigt hat (Art. 11 Abs. 3 und 6 BVG). Art. 1j Abs. 1 BVV 2 umschreibt den Kreis der Arbeitnehmer, welche von der obligatorischen Versicherung ausgenommen sind. Darunter fallen Arbeitnehmer, die nebenberuflich tätig sind und bereits für eine hauptberufliche Erwerbstätigkeit obligatorisch versichert sind oder im Hauptberuf eine selbständige Erwerbstätigkeit ausüben (lit. c dieser Bestimmung).</w:t>
      </w:r>
    </w:p>
    <w:p>
      <w:r>
        <w:rPr>
          <w:b/>
        </w:rPr>
        <w:t>E. 4.2</w:t>
      </w:r>
    </w:p>
    <w:p>
      <w:r>
        <w:t>Im vorliegenden Fall ist die Beschwerdeführerin in erster Linie der Ansicht, dass die Geschäftspartnerin Z._______ nicht als Arbeitnehmerin, sondern als Selbständigerwerbende zu betrachten sei und deshalb von der obligatorischen Versicherung ausgenommen werden müsste.</w:t>
      </w:r>
    </w:p>
    <w:p>
      <w:r>
        <w:rPr>
          <w:b/>
        </w:rPr>
        <w:t>E. 4.2.1</w:t>
      </w:r>
    </w:p>
    <w:p>
      <w:r>
        <w:t>Unbestritten ist, dass Z._______ und Y._______ zusammen die Beschwerdeführerin, nämlich eine Gesellschaft mit beschränkter Haftung (GmbH) im Sinne von Art. 772 des Schweizerischen Obligationenrechts (OR, SR 220) gegründet haben. Dabei handelt es sich um eine juristische Person, welche u.a. als Arbeitgeberin ein Arbeitsverhältnis begründen oder wie vorliegend in eigenem Namen Beschwerde erheben kann. Der Jahresabrechnung 2005 der zuständigen AHV-Ausgleichskasse des Kantons Basel-Landschaft ist denn auch zu entnehmen, dass Z._______ auf dem Abrechnungsformular der Beschwerdeführerin als Arbeitnehmerin aufgeführt ist und als solche eine BVG-pflichtige, als Lohn bezeichnete Leistung bezogen hat. Diese bezog sie unstreitig im Rahmen ihrer Tätigkeit für die Beschwerdeführerin.</w:t>
      </w:r>
    </w:p>
    <w:p>
      <w:r>
        <w:rPr>
          <w:b/>
        </w:rPr>
        <w:t>E. 4.2.2</w:t>
      </w:r>
    </w:p>
    <w:p>
      <w:r>
        <w:t>Die Beschwerdeführerin wendet sich jedoch gegen die Qualifizierung der Leistung von Z._______ als Lohn sowie gegen das Bestehen eines Arbeitsverhältnisses. Sinngemäss möchte sie diese Leistung als Honorar im Rahmen eines Auftrages qualifizieren, den Z._______ als Selbständig-erwerbende für sie erfüllt habe. Indizien dafür seien der eigene Arbeitsort von Z._______, deren Übernahme der Bürokosten, der Kosten des Geschäftsautos sowie des Geschäftsrisikos jedes selbständig erledigten Auftrages. Damit ist die Frage näher zu prüfen, ob diese Mitgründerin und Inhaberin der Beschwerdeführerin als Arbeitnehmerin oder als Selbständig-erwerbende im Sinne des BVG zu betrachten ist.</w:t>
      </w:r>
    </w:p>
    <w:p>
      <w:r>
        <w:rPr>
          <w:b/>
        </w:rPr>
        <w:t>E. 4.2.3</w:t>
      </w:r>
    </w:p>
    <w:p>
      <w:r>
        <w:t>Im Geltungsbereich des BVG sind die Begriffe "Arbeitnehmer" und "Selbständigerwerbende" im Sinne der AHV-Gesetzgebung und nicht des Arbeitsvertragsrechts zu verstehen (Hans Michael Riemer/Gabriela Riemer-Kafka, Berufliche Vorsorge, 2. Auflage Bern 2006, § 2 N. 2; Hans-Ulrich Stauffer, Berufliche Vorsorge, Zürich 2005, Rz. 486; VPB 51/1987 Nr. 16 S. 101f., BGE 115 1b E. 4d). Die Frage, ob im Einzelfall selbständige oder unselbständige Erwerbstätigkeit vorliegt, beurteilt sich nach konstanter Praxis des EVG nicht auf Grund der Rechtsnatur des Vertragsverhältnisses zwischen den Parteien. Entscheidend sind vielmehr die wirtschaftlichen Gegebenheiten (SVR 2002 BVG Nr. 2, Urteil der Eidg. Beschwerdekommission BVG BKBVG 926/02 vom 19. November 2002). So wird in der Regel auf die Unabhängigkeit in betriebswirtschaftlicher und arbeitsorganisatorischer Hinsicht sowie auf die Übernahme des spezifischen Unternehmerrisikos abgestellt, um eine selbständige Tätigkeit anzunehmen. Diese Merkmale treffen ohne Weiteres auf die Inhaber von Einzelfirmen sowie Teilhaber von Gesellschaften ohne Rechtspersönlichkeit zu.</w:t>
      </w:r>
    </w:p>
    <w:p>
      <w:r>
        <w:rPr>
          <w:b/>
        </w:rPr>
        <w:t>E. 4.2.4</w:t>
      </w:r>
    </w:p>
    <w:p>
      <w:r>
        <w:t>Würde man aber diese Kriterien unbesehen auf die Einpersonengesellschaften oder ähnlich organisierte Firmen anwenden, so könnten diese nicht dem BVG unterstellt werden, da der einzige Arbeitnehmer, welcher massgeblich an einer solchen juristischen Person beteiligt ist, in gewisser Hinsicht "selbständig" ist. Nach schweizerischem Recht ist die Einpersonengesellschaft ein zulässiges - und im Übrigen auch recht weit verbreitetes - Gebilde (vgl. Meier-Hayoz/Forstmoser, Schweizerisches Gesellschaftsrecht, 8. Aufl. Bern 1998, S. 333 Rz 25 ff. und speziell für die GmbH S. 449 Rz 13). Weiter basiert das Körperschaftsrecht auf dem Grundsatz der vollständigen rechtlichen und tatsächlichen Trennung der juristischen Person von ihren Mitgliedern in persönlicher und vermögensrechtlicher Hinsicht, so dass auch eine weitgehende Identität der wirtschaftlichen Interessen von Gesellschaft und Gesellschafter - die bei Einpersonengesellschaften besonders auffällig zutage tritt - grundsätzlich unbeachtlich ist (BGE 117 IV 263 E. 3a). Die hinter der rechtlichen Form liegende wirtschaftliche Realität kann nur ausnahmsweise berücksichtigt werden; nämlich dann, wenn die juristische Person von ihren Mitgliedern in rechtsmissbräuchlicher Weise zur Erreichung unlauterer Zwecke verwendet wird, so dass die Berufung auf die rechtliche Selbständigkeit der juristischen Person gegen Treu und Glauben verstösst (Meier-Hayoz/Forstmoser, a.a.O., S. 44 f. Rz 34). Das BVG und seine Ausführungsbestimmungen kennen indessen - wie auch die meisten klassischen Sozialversicherungsgesetze - keine Leistungsvorbehalte für Versicherte, welche an ihrer Arbeitsstelle eine arbeitgeberähnliche Funktion bekleiden. Von daher lässt sich mithin nicht verhindern, dass auch ein Alleingesellschafter als Arbeitnehmer Betroffener eines Zwangsanschlusses durch die Auffangeinrichtung im Sinn von Art. 60 Abs. 2 lit. a BVG wird (vgl. Urteil der Eidg. Beschwerdekommission BVG vom 8. Oktober 2004 [BKBVG 1128/04] Erw. 3 mit Hinweisen).</w:t>
      </w:r>
    </w:p>
    <w:p>
      <w:r>
        <w:rPr>
          <w:b/>
        </w:rPr>
        <w:t>E. 4.2.5</w:t>
      </w:r>
    </w:p>
    <w:p>
      <w:r>
        <w:t>Vorliegend hat die Beschwerdeführerin der Geschäftsinhaberin und -partnerin Z._______ eine Entschädigung für ihre Arbeit ausbezahlt, die der AHV-Ausgleichskasse ausdrücklich als Lohn deklariert wurde. Ausserdem ist die Beschwerdeführerin eine Zweipersonengesellschaft, also eine von zwei Inhabern dominierte Gesellschaft, für welche dieselben Überlegungen gelten müssen wie für die Einpersonengesellschaft. Demnach erweist sich das Argument der Beschwerdeführerin, Z._______ sei keine Arbeitnehmerin im Sinne des BVG, sondern sei vielmehr als Selbständigerwerbende zu qualifizieren, als unbegründet.</w:t>
      </w:r>
    </w:p>
    <w:p>
      <w:r>
        <w:rPr>
          <w:b/>
        </w:rPr>
        <w:t>E. 4.3.1</w:t>
      </w:r>
    </w:p>
    <w:p>
      <w:r>
        <w:t>Die Beschwerdeführerin macht weiter geltend, bei der Durchführung der Kommunikationsprojekte habe es sich um eine nebenberufliche Tätigkeit gehandelt.</w:t>
      </w:r>
    </w:p>
    <w:p>
      <w:r>
        <w:rPr>
          <w:b/>
        </w:rPr>
        <w:t>E. 4.3.2</w:t>
      </w:r>
    </w:p>
    <w:p>
      <w:r>
        <w:t>Wenn dies zutreffen würde, wäre es aus Sicht des BVG nur dann relevant, wenn gleichzeitig auch eine hauptberufliche Erwerbstätigkeit ausgeübt und für diese eine obligatorische Versicherung bestehen würde (Art. 1j Abs. 1 c BVV 2). Dies ist nachweislich nicht der Fall und braucht deshalb nicht weiter geprüft zu werden.</w:t>
      </w:r>
    </w:p>
    <w:p>
      <w:r>
        <w:rPr>
          <w:b/>
        </w:rPr>
        <w:t>E. 4.4.1</w:t>
      </w:r>
    </w:p>
    <w:p>
      <w:r>
        <w:t>Schliesslich bringt die Beschwerdeführerin vor, dass die Arbeitnehmerin vorzeitig pensioniert wurde und bereits eine BVG-Altersrente erhält. Sinngemäss bezweifelt sie die Möglichkeit eines "zusätzlichen" BVG-Anschlusses.</w:t>
      </w:r>
    </w:p>
    <w:p>
      <w:r>
        <w:rPr>
          <w:b/>
        </w:rPr>
        <w:t>E. 4.4.2</w:t>
      </w:r>
    </w:p>
    <w:p>
      <w:r>
        <w:t>In gewissen Konstellationen kann durchaus eine mehrfache Versicherungspflicht bestehen (vgl. BGE 129 V 132 E. 3.4 im Falle von zwei oder mehr parallel ausgeübten, gleichwertigen Tätigkeiten). Im vorliegenden Fall besteht eine BVG-Unterstellungspflicht trotz resp. unabhängig der Auszahlung einer von der früheren Erwerbstätigkeit her abgeleiteten BVG-Rente. Es ist etwa auch zu bedenken, dass die Arbeitnehmerin von der anderen Vorsorgeeinrichtung - ausser der Altersrente - wohl keine Leistungen erhalten hätte, wenn ihr während der Ausübung der Tätigkeit für die Beschwerdeführerin im Jahre 2005 etwas zugestossen und sie invalid geworden wäre (Urteil BKBVG 1176/04 vom 23. März 2005, E. 2b).</w:t>
      </w:r>
    </w:p>
    <w:p>
      <w:r>
        <w:rPr>
          <w:b/>
        </w:rPr>
        <w:t>E. 4.5</w:t>
      </w:r>
    </w:p>
    <w:p>
      <w:r>
        <w:t>Insgesamt erweist sich die Beschwerde als unbegründet und ist deshalb vollumfänglich abzuweisen.</w:t>
      </w:r>
    </w:p>
    <w:p>
      <w:r>
        <w:rPr>
          <w:b/>
        </w:rPr>
        <w:t>E. 5</w:t>
      </w:r>
    </w:p>
    <w:p>
      <w:r>
        <w:t>Gemäss Art. 63 Abs. 1 VwVG werden die Verfahrenskosten in der Regel der unterliegenden Partei auferlegt. Die Verfahrenskosten sind gemäss dem Reglement vom 11. Dezember 2006 über die Kosten und Entschädigungen vor dem Bundesverwaltungsgericht (VGKE, SR 173.320.2) zu bestimmen. Sie werden auf Fr. 900.-- festgelegt. Es erfolgt eine Verrechnung mit dem bereits einbezahlten Kostenvorschuss.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