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C-1102/2010 vom 19. November 2012</w:t>
      </w:r>
    </w:p>
    <w:p>
      <w:r>
        <w:t>Bundesverwaltungsgericht, 2012-11-19, DE</w:t>
      </w:r>
    </w:p>
    <w:p>
      <w:r>
        <w:rPr>
          <w:b/>
        </w:rPr>
        <w:t xml:space="preserve">Quelle: </w:t>
      </w:r>
      <w:r>
        <w:t>https://mcp.opencaselaw.ch/entscheid/bvger_C-1102_2010</w:t>
      </w:r>
    </w:p>
    <w:p>
      <w:r>
        <w:t>FR: TAF C-1102/2010 du 19 novembre 2012</w:t>
      </w:r>
    </w:p>
    <w:p>
      <w:r>
        <w:t>IT: TAF C-1102/2010 del 19 novembre 2012</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w:t>
      </w:r>
    </w:p>
    <w:p>
      <w:r>
        <w:t>Anfechtungsgegenstand des vorliegenden Verfahrens ist der Verwaltungsakt des Amts für Stiftungen und berufliche Vorsorge, Basel-Landschaft (heute: BVG- und Stiftungsaufsicht beider Basel) vom 20. Januar 2010, welcher ohne Zweifel eine Verfügung im Sinne von Art. 5 VwVG darstellt. Die Beschwerde gegen diese Verfügung ist frist- und formgerecht eingegangen (Art. 50 und 52 VwVG). Durch die Verfügung ist die Beschwerdeführerin als betroffene Stiftung, deren Teilliquidationsreglement mit der angefochtenen Verfügung zurückgewiesen worden ist, besonders berührt und hat ein schutzwürdiges Interesse an der Änderung oder Aufhebung der angefochtenen Verfügung (Art. 48 Abs. 1 Bst. b und c VwVG), so dass sie zur Beschwerde legitimiert ist. Nachdem auch der eingeforderte Kostenvorschuss in der gesetzten Frist geleistet wurde, ist auf das ergriffene Rechtsmittel einzutreten.</w:t>
      </w:r>
    </w:p>
    <w:p>
      <w:r>
        <w:rPr>
          <w:b/>
        </w:rPr>
        <w:t>E. 3</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im Zeitpunkt des angefochtenen Entscheids in Kraft stehende Recht zur Anwendung. Der angefochtene Entscheid datiert vom 30. Juni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5.1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Bei Stiftungen übernimmt die Aufsichtsbehörde auch die Aufgaben nach den Artikeln 84 Absatz 2, 85 und 86 ZGB (Art. 62 Abs. 2 BVG). Diese Zuständigkeiten für Aufsicht und Rechtspflege gelten ebenso für nicht registrierte Personalfürsorgestiftungen, die ausserobligatorisch auf dem Gebiet der Alters-, Hinterlassenen- und Invalidenvorsorge tätig sind (Art. 89bis Abs. 6 ZGB).Gemäss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und auf die Verwaltung im Allgemeinen.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(Urteil des BGer 9C_954/2010 vom 16. Mai 2011 E. 5.1.1, BGE 111 II 97 E. 3).</w:t>
      </w:r>
    </w:p>
    <w:p>
      <w:r>
        <w:rPr>
          <w:b/>
        </w:rPr>
        <w:t>E. 6.1</w:t>
      </w:r>
    </w:p>
    <w:p>
      <w:r>
        <w:t>Im Rahmen ihrer Aufsichtstätigkeit hat sich die Aufsichtsbehörde auch mit der Teilliquidation von Vorsorgeeinrichtungen zu befassen, indem sie die reglementarischen Vorschriften über die Voraussetzungen und das Verfahren zur Teilliquidation genehmigt (Art. 53b Abs. 2 BVG). Der entsprechenden Genehmigung kommt dabei ein konstitutiver Charakter zu (Ueli Kieser, in: Jacques-André Schneider/Thomas Geiser/Thomas Gächter [Hrsg.], Handkommentar zum BVG und FZG, Art. 53b, N 34, mit Hinweis auf die bundesrätliche Botschaft vom 1. März 2000 zur 1. BVG-Revision, BBl 2000 2697).</w:t>
      </w:r>
    </w:p>
    <w:p>
      <w:r>
        <w:rPr>
          <w:b/>
        </w:rPr>
        <w:t>E. 6.2</w:t>
      </w:r>
    </w:p>
    <w:p>
      <w:r>
        <w:t>Die Vorinstanz hat mit der angefochtenen Verfügung die Genehmigung des Teilliquidationsreglements der Beschwerdeführerin verweigert. Sie ist der Auffassung, die Beschwerdeführerin sei direkt Art. 89bis Abs. 6 ZGB unterstellt und habe daher gestützt auf Ziff. 9 dieser Bestimmung auch als patronaler Wohlfahrtsfonds ein Teilliquidationsreglement zu erlassen, das vorgelegte Reglement erfülle aber die diesbezüglichen gesetzlichen Anforderungen nicht. Die Beschwerdeführerin rügt die Nichtgenehmigung ihres Teilliquidationsreglements. Sie macht geltend, sie sei ein patronaler Wohlfahrtsfonds, sie bezwecke die freiwillige Vorsorge zugunsten des Kaders der beiden Stifterfirmen, sie nehme nicht an der obligatorischen beruflichen Vorsorge teil und unterstehe deshalb grundsätzlich nicht dem BVG. Wenn das Gesetz trotzdem von ihr verlange, die Teilliquidation zu regeln, dann könne sie das Teilliquidationsreglement wenigstens auf ihre Bedürfnisse hin zuschneiden.</w:t>
      </w:r>
    </w:p>
    <w:p>
      <w:r>
        <w:rPr>
          <w:b/>
        </w:rPr>
        <w:t>E. 7</w:t>
      </w:r>
    </w:p>
    <w:p>
      <w:r>
        <w:t>Zunächst ist zu prüfen, ob und gegebenenfalls inwiefern für die Beschwerdeführerin als eine ausserhalb des BVG-Obligatoriums tätige Vorsorgestiftung Art. 89bis Abs. 6 Ziff. 9 ZGB und damit BVG-Bestimmungen zur Teil- und Gesamtliquidation (Art. 53b - 53d) anwendbar sind.</w:t>
      </w:r>
    </w:p>
    <w:p>
      <w:r>
        <w:rPr>
          <w:b/>
        </w:rPr>
        <w:t>E. 7.1</w:t>
      </w:r>
    </w:p>
    <w:p>
      <w:r>
        <w:t>Zu den typischen Wesensmerkmalen einer Personalfürsorgestiftung im Sinne von Art. 899bis Abs. 6 ZGB gehört, dass sie den beitragspflichtigen Destinatären planmässig Rechtsansprüche auf versicherungsmässige Leistungen (Rente, Kapital oder Kombinationen) beim Eintritt versicherter Risiken gewährt (Einrichtungen mit Versicherungscharakter). Demgegenüber handelt es sich bei patronalen Wohlfahrtsfonds um Vorsorgestiftungen, die ihren nicht beitragspflichtigen Destinatären blosse Ermessensleistungen gewähren (in Kapital- oder Rentenform), ohne festen Plan, ohne versicherbare Risikodeckung und ohne Rechtsanspruch, finanziert allein durch die Stifterfirma. Für patronale Wohlfahrtsfonds gilt die direkte Unterstellung unter Art. 89bis Abs. 6 ZGB nicht, was sich daraus ergibt, dass die zweite Säule in erster Linie dem Versicherungsgedanken Rechnung trägt. Die Rechtsfrage, ob eine Personalfürsorgestiftung ein patronaler Wohlfahrtsfonds oder eine Vorsorgeeinrichtung im Sinne von Art. 89bis Abs. 6 ZGB ist, beurteilt sich nach den Rechtsansprüchen der Destinatäre und der Finanzierung der Stiftungsaufgaben, was sich aus den Statuten ergibt (vgl. zum Ganzen Urteil des BGer 9C_2/2012 vom 30. August 2012 E. 3.1 mit Hinweisen auf Rechtsprechung und Lehre, ebenso Urteil des BGer 9C_193/2008 vom 2. Juli 2008 E. 3.3; Urteile des BVGer C-1171/2009 vom 17. November 2011 E. 4.3.1, C-5780/2008 vom 25. Oktober 2011 E. 2.2.1).</w:t>
      </w:r>
    </w:p>
    <w:p>
      <w:r>
        <w:rPr>
          <w:b/>
        </w:rPr>
        <w:t>E. 7.1.1</w:t>
      </w:r>
    </w:p>
    <w:p>
      <w:r>
        <w:t>Qualifiziert man die Beschwerdeführerin anhand ihrer Statuten (vgl. Sachverhalt A), dann weist sie einerseits Wesensmerkmale einer Personalfürsorgestiftung nach Art. 89bis Abs. 6 ZGB auf, verfügt doch gemäss Art. II Abs. 2 StU die Stiftung u. a. über Einnahmen aus allfälligen Personalbeiträgen und besteht gemäss Art. III Abs. 1 StU der Stiftungszweck in der Vorsorge zugunsten des Kaderpersonals der Stifterfirmen für die Risiken Unfall, Krankheit, Alter, Invalidität und Tod, wobei gemäss Abs. 3 für die Risiken Versicherungsverträge abgeschlossen werden können. Demgegenüber kann vorliegend offen bleiben, ob die in Art. III Abs. 2 genannte teilweise oder vollständige Verwendung des Stiftungsvermögens für die Finanzierung der Arbeitgeberbeiträge an die BVG-Stiftung oder den Fürsorgefonds dem in Abs. 1 und 3 genannten Stiftungszweck widerspricht. Andererseits werden die Statutenbestimmungen, welche auf eine Personalfürsorgestiftung im Sinne von Art. 89bis Abs. 6 ZGB schliessen lassen, relativiert: Was die Erreichung des Stiftungszwecks anbelangt (Art. III StU), bestimmt der Stiftungsrat nach pflichtgemässem Ermessen, wie der Stiftungszweck zu verwirklichen ist, er kann dazu ein Reglement aufstellen; so lange kein Reglement besteht, entscheidet der Stiftungsrat nach pflichtgemässem Ermessen im Rahmen der Stiftungsurkunde (Art. IV StU). Vorliegend wurde kein Reglement erlassen, so dass die Zusprechung der Leistungen im Ermessen des Stiftungsrats steht; den Destinatären werden also keine rechtsverbindlichen Ansprüche auf im Stiftungszweck vorgesehene Leistungen eingeräumt.</w:t>
      </w:r>
    </w:p>
    <w:p>
      <w:r>
        <w:rPr>
          <w:b/>
        </w:rPr>
        <w:t>E. 7.1.2</w:t>
      </w:r>
    </w:p>
    <w:p>
      <w:r>
        <w:t>Diese statutarischen Bestimmungen lassen den Schluss zu, dass, in Übereinstimmung mit der Beschwerdeführerin und der Vorinstanz, die Beschwerdeführerin als patronaler Wohlfahrtsfonds zu qualifizieren ist.</w:t>
      </w:r>
    </w:p>
    <w:p>
      <w:r>
        <w:rPr>
          <w:b/>
        </w:rPr>
        <w:t>E. 7.2</w:t>
      </w:r>
    </w:p>
    <w:p>
      <w:r>
        <w:t>Gemäss Art. 89bis Abs. 6 Ziff. 9 ZGB gelten für Personalfürsorgestiftungen, die auf dem Gebiet der Alters-, Hinterlassenen- und Invalidenvorsorge tätig sind, die Bestimmungen des BVG über die Teil- oder Gesamtliquidation (Art. 53b - 53d). Hinsichtlich der patronalen Wohlfahrtsfonds - wie vorliegend - hat das Bundesgericht im Urteil 9C_2/2012 vom 30. August 2012 die analoge Anwendung dieser BVG-Bestimmungen bejaht, da hinsichtlich Zweck und Destinatärkreis ein enger Bezug zu den Personalfürsorgestiftungen besteht, wobei die patronalen Wohlfahrtsfonds aufgrund ihrer Eigenheiten jedoch nicht durchwegs wie reglementarische, nicht registrierte Personalvorsorgestiftungen behandelt werden können (E. 4 und E. 6). Damit wird die seit der 1. BVG-Revision herrschende Praxis bestätigt, die - wie im vorliegenden Fall - verlangt, dass auch die patronalen Vorsorgestiftungen ein Teilliquidationsreglement zu erstellen haben, was vom Bundesverwaltungsgericht bislang ausdrücklich und grundsätzlich geschützt worden ist (Urteile BVGer C-595/2010 vom 30. Mai 2012 E. 4.1, C-1171/2009 vom 17. November 2011 E. 4.3.2, C-5780/2008 vom 25. Oktober 2011 E. 2, C-2202/2009 vom 29. September 2010 E. 5, C-2365/2006 vom 19. Februar 2008 E. 3, C-2354/2006 vom 27. April 2007 E. 4).</w:t>
      </w:r>
    </w:p>
    <w:p>
      <w:r>
        <w:rPr>
          <w:b/>
        </w:rPr>
        <w:t>E. 7.3</w:t>
      </w:r>
    </w:p>
    <w:p>
      <w:r>
        <w:t>Somit steht fest, dass für die Beschwerdeführerin als patronalen Wohlfahrtsfonds Art. 53b BVG analog gilt, was von der Beschwerdeführerin im Übrigen auch nicht explizit bestritten wird.</w:t>
      </w:r>
    </w:p>
    <w:p>
      <w:r>
        <w:rPr>
          <w:b/>
        </w:rPr>
        <w:t>E. 8</w:t>
      </w:r>
    </w:p>
    <w:p>
      <w:r>
        <w:t>Als Nächstes ist zu prüfen, wie die Beschwerdeführerin ihr Teilliquidationsreglement auszugestalten hat, insbesondere was die Voraussetzungen für eine Teilliquidation und den Verteilungsplan betrifft. Beide Punkte erachtet die Vorinstanz als mangelhaft geregelt und beurteilt das Teilliquidationsreglement daher als nicht genehmigungsfähig.</w:t>
      </w:r>
    </w:p>
    <w:p>
      <w:r>
        <w:rPr>
          <w:b/>
        </w:rPr>
        <w:t>E. 8.1</w:t>
      </w:r>
    </w:p>
    <w:p>
      <w:r>
        <w:t>Nach Art. 53b Abs. 1 BVG regeln die Vorsorgeeinrichtungen in ihren Reglementen die Voraussetzungen und das Verfahren zur Teilliquidation. Die Voraussetzungen für eine Teilliquidation sind vermutungsweise erfüllt, wenn eine erhebliche Verminderung der Belegschaft erfolgt (Bst. a), eine Unternehmung restrukturiert wird (Bst. b), der Anschlussvertrag aufgelöst wird (Bst. c). Die reglementarischen Vorschriften über die Voraussetzungen und das Verfahren zur Teilliquidation müssen von der Aufsichtsbehörde genehmigt werden (Abs. 2). Diese Teilliquidationstatbestände verstehen sich abschliessend und alternativ (Urteil BGer 9C_2/2012 vom 30. August 2012 E. 6.1 mit Hinweis auf BGE 136 V 322 E. 8.2).</w:t>
      </w:r>
    </w:p>
    <w:p>
      <w:r>
        <w:rPr>
          <w:b/>
        </w:rPr>
        <w:t>E. 8.2</w:t>
      </w:r>
    </w:p>
    <w:p>
      <w:r>
        <w:t>In ihrem Reglement beschränkt sich die Beschwerdeführerin einzig auf das Ausscheiden der ihr angeschlossenen Stifterfirmen (Ziff. 2) und damit auf die Auflösung des Anschlussvertrags. Sie macht geltend, die übrigen beiden genannten gesetzlichen Tatbestände (Restrukturierung der Unternehmung sowie erhebliche Verminderung der Belegschaft) würden hinsichtlich der angeschlossenen Unternehmen nur mit geringer Wahrscheinlichkeit eintreten, weshalb für eine Regelung im Teilliquidationsreglement kein Bedarf bestehe. Damit lasse sich gesetzliche Vermutung umstossen. Somit besteht unter den Parteien Uneinigkeit hinsichtlich der Bedeutung des gesetzlichen Begriffs "vermutungsweise" und damit hinsichtlich der Frage, ob zwingend alle drei gesetzlichen Tatbestände im Reglement zu regeln sind.</w:t>
      </w:r>
    </w:p>
    <w:p>
      <w:r>
        <w:rPr>
          <w:b/>
        </w:rPr>
        <w:t>E. 8.2.1</w:t>
      </w:r>
    </w:p>
    <w:p>
      <w:r>
        <w:t>Die Vorschriften über Gesamt- und Teilliquidationen von Vorsorge-einrichtungen waren bis zum Inkrafttreten der 1. BVG-Revision am 1. Januar 2005 in Art. 23 des Bundesgesetzes über die Freizügigkeit in der beruflichen Alters-, Hinterlassenen- und Invalidenvorsorge (FZG, SR 831.42) integriert. Seine Formulierung wurde in den neuen Art. 53b Abs. 1 Satz 2 BVG übernommen. Geändert wurde einzig das Verfahren, indem die Aufsichtsbehörde von der Prüfung der Voraussetzungen einer Teilliquidation im Einzelfall entlastet wurde und die Vorsorgeeinrichtungen nun autonom, ohne Mitwirkung der Aufsichtsbehörde, die Teilliquidation vollziehen (vgl. zum Ganzen Urteil BGer 9C_2/2012 a.a.O. E. 6.3 mit Hinweisen auf Gesetzgebung und Lehre). Den Vorsorgeeinrichtungen obliegt dabei neu in ihrem Reglement selber festzulegen, wann die Voraussetzungen für eine Teilliquidation erfüllt sind (Art. 53b Abs. 1 Satz 1 BVG). Diese sollten möglichst objektiv und abschliessend sein (bundesrätliche Botschaft in BBl 2000 2696). Auch wenn im Reglement bei der Ordnung der Voraussetzungen der Teilliquidation kein besonderer Gestaltungsraum mehr verbleibt, geht auch die Lehre davon aus, dass die einzelnen Voraussetzungen im Reglement präventiv zu spezifizieren und zu konkretisieren sind (Ueli Kieser, in: Schneider/Geiser/Gächter [Hrsg.], Art. 53b, N. 26 ff.).</w:t>
      </w:r>
    </w:p>
    <w:p>
      <w:r>
        <w:rPr>
          <w:b/>
        </w:rPr>
        <w:t>E. 8.2.2</w:t>
      </w:r>
    </w:p>
    <w:p>
      <w:r>
        <w:t>Über die Bedeutung der gesetzlichen Vermutung war die Lehre bereits unter der Herrschaft des alten Rechts geteilter Meinung: Für einen Teil der Doktrin handelte es sich um eine gesetzliche Vermutung in dem Sinne, dass die Aufsichtsbehörde eine Teilliquidation anzuordnen hatte, wenn eine der drei aufgeführten Tatbestände eingetreten war, wobei der Wortlaut von Art. 23 Abs. 4 FZG nicht ausschloss, dass die Aufsichtsbehörde eine Teilliquidation auch in anderen als den in Art. 23 Abs. 4 FZG genannten Fällen anordnen konnte; ein anderer Teil der Lehre vertrat die Meinung, dass es sich um eine Vermutung handelte, die sich in dem Sinne umstossen liess, als dass der Aufsichtsbehörde im konkreten Einzelfall ein gewisser Ermessensraum zustand, eine Teilliquidation anzuordnen oder nicht (zum Ganzen vgl. Urteile des BGer 2A.699/2006 vom 11. Mai 2007 E. 3.2 mit Hinweisen, 2A.48/2003 vom 26. Juni 2003, in: SVR 2003, BVG Nr. 26, S. 86; Entscheid der Eidg. Beschwerdekommission BVG vom 20. November 1998, in: SVR 2001, BVG Nr. 9, S. 36; Fritz Steiger, in: Aktuelle Juristische Praxis [AJP] 372008, Entscheidungen, S. 364 f.).</w:t>
      </w:r>
    </w:p>
    <w:p>
      <w:r>
        <w:rPr>
          <w:b/>
        </w:rPr>
        <w:t>E. 8.2.3</w:t>
      </w:r>
    </w:p>
    <w:p>
      <w:r>
        <w:t>Jedenfalls hatte die Aufsichtsbehörde nach altem Recht jeweils einzig im konkreten Einzelfall - und nicht präventiv - die Voraussetzungen für eine Teilliquidation zu prüfen. Mit dem erwähnten neuen Recht über das Verfahren zur Teilliquidation gehen die Aufsichtsbehörden demgegenüber davon aus, dass die Vorsorgeeinrichtungen verpflichtet sind, die Voraussetzungen für eine Teilliquidation konkret auf ihre Verhältnisse angepasst zu regeln, mithin die konkreten Bedingungen einer Teilliquidation ihren Eigenarten entsprechend festzulegen (vgl. Mitteilung Nr. 100 vom 19. Juli 2007 Rz. 590 über die berufliche Vorsorge des Bundesamtes für Sozialversicherungen, ebenso Merkblatt der Konferenz der kantonalen BVG- und Stiftungsaufsichtsbehörden über die Teilliquidation von Wohlfahrtsfonds vom 6. September 2005, worauf sich die Vorinstanz vorliegend ebenfalls beruft [act. 6/1, 6/2], und was vom Bundesgericht im genannten Urteil 9C_2/2012 [vgl. E. 6.2] geschützt wurde). Wohl richten sich derartige Verwaltungsweisungen an die Durchführungsstellen und sind für das Sozialversicherungsgericht nicht verbindlich, doch soll es sie bei seiner Entscheidung berücksichtigen, sofern sie eine dem Einzelfall angepasste und gerecht werdende Auslegung der anwendbaren gesetzlichen Bestimmungen zulassen (Urteil BGer 9C_2/2012 a.a.O. E. 6.2 in fine mit Hinweisen auf die höchstrichterliche Rechtsprechung), was vorliegend zu bejahen ist.</w:t>
      </w:r>
    </w:p>
    <w:p>
      <w:r>
        <w:rPr>
          <w:b/>
        </w:rPr>
        <w:t>E. 8.2.4</w:t>
      </w:r>
    </w:p>
    <w:p>
      <w:r>
        <w:t>Die Umstossung der gesetzlichen Vermutung in Art. 53b Abs. 1 BVG bedeutet demzufolge ­- entgegen der Beschwerdeführerin - nicht, dass die Vorsorgeeinrichtungen auf die Regelung einzelner gesetzlicher Tatbestände zum vornherein verzichten können. Vielmehr lässt sich die Vermutung erst im Einzelfall widerlegen, nachdem die Vermutungsbasis, mithin die gesetzlichen Tatbestände für die Teilliquidation, im Reglement geregelt wurden. Dies betrifft vor allem die Voraussetzung der erheblichen Verminderung der Belegschaft (Bst. a) und der Restrukturierung einer Unternehmung (Bst. b), indem zum Beispiel belegt wird, dass die Verminderung der Belegschaft trotz mehreren Kündigungen nicht erheblich ist oder die Umstrukturierung weder wirtschaftlich noch organisatorisch begründet ist (vgl. BVGE 2008/53 E. 6.2.1 mit Hinweisen, Urteil des BGer 2A.48/2003 vom 26. Juni 2003, in: SVR 2003, BVG Nr. 26, S. 86; Entscheid der Eidg. Beschwerdekommission BVG vom 20. November 1998, in: SVR 2001, BVG Nr. 9, S. 36; Steiger, a.a.O., S. 365). Im Übrigen kann ein Reglement das Gesetz weder eingrenzen noch umstossen (Urteile BVGer C-1171/2009 vom 17. November 2011 E. 5.5.1, C-3896/2007 vom 2. August 2008 E. 4.2, Urteil der Eidg. Beschwerdekommission BVG vom 4. August 1992 in: SZS 1995, S. 233). Auch wenn die Beschwerdeführerin geltend macht, dass eine erhebliche Verminderung der Belegschaft wie auch eine Restrukturierung ihrer angeschlossenen Unternehmungen wenig wahrscheinlich sind, hat sie diese Tatbestände in ihrem Teilliquidationsreglement nach dem Gesagten normativ zu regeln. Das hindert sie jedoch nicht daran, im Rahmen der Anwendung des Teilliquidationsreglements im Einzelfall darzutun, dass ein Vorgang in den angeschlossenen Unternehmungen keine erhebliche Verminderung der Belegschaft oder auch keine Restrukturierung darstellt und damit auch keine Teilliquidation der Beschwerdeführerin auslöst. Die Einwände der Vorinstanz sind damit nicht zu beanstanden.</w:t>
      </w:r>
    </w:p>
    <w:p>
      <w:r>
        <w:rPr>
          <w:b/>
        </w:rPr>
        <w:t>E. 9.1</w:t>
      </w:r>
    </w:p>
    <w:p>
      <w:r>
        <w:t>Zum Verfahren zur Teilliquidation, welches ebenfalls im Teilliquidationsreglement zu regeln ist (Art. 53b Abs. 1 Satz 1 BVG) gehört unter anderem die Regelung der Verteilung von allfällig vorhandenen freien Mitteln im Liquidationszeitpunkt (Art. 53d Abs. 4 Bst. b BVG). Nach Art. 53d Abs. 1 BVG muss die Teil- und Gesamtliquidation der Vorsorgeeinrichtung unter Berücksichtigung des Gleichbehandlungsgrundsatzes und nach fachlich anerkannten Grundsätzen durchgeführt werden, welche vom Bundesrat bezeichnet werden. Diese hat der Bundesrat in Art. 27g - 27h BVV 2 geregelt. Nach Art. 27g Abs. 1 BVV 2 besteht bei einer Teil- oder Gesamtliquidation bei einem individuellen Austritt ein individueller Anspruch, bei einem kollektiven Austritt ein individueller oder kollektiver Anspruch auf einen Anteil der freien Mittel.</w:t>
      </w:r>
    </w:p>
    <w:p>
      <w:r>
        <w:rPr>
          <w:b/>
        </w:rPr>
        <w:t>E. 9.2</w:t>
      </w:r>
    </w:p>
    <w:p>
      <w:r>
        <w:t>Die Beschwerdeführerin regelt in Ziff. 5 des Reglements einzig den kollektiven Austritt der Destinatäre für den Fall einer Auflösung des Anschlussvertrages, indem für die Übertragung des vorhandenen freien Vermögens ein Übertragungsvertrag abzuschliessen ist. Der individuelle Austritt von Destinatären wird hingegen nicht geregelt, da hiefür nach Ansicht der Beschwerdeführerin aufgrund ihrer Organisation mit nur zwei angeschlossenen kleinen Unternehmungen kein Anlass bestehe. Zudem stünden individuelle Ansprüche der allenfalls ausscheidenden Destinatäre im Widerspruch zum Stiftungsstatut, das nur freiwillige Leistungen vorsehe und keinerlei Rechtsansprüche kenne. Für die Verteilung würden im konkreten Fall die seit 20 Jahren von der Stiftung befolgten Grundsätze für die Ausrichtung von Leistungen herangezogen.</w:t>
      </w:r>
    </w:p>
    <w:p>
      <w:r>
        <w:rPr>
          <w:b/>
        </w:rPr>
        <w:t>E. 9.3</w:t>
      </w:r>
    </w:p>
    <w:p>
      <w:r>
        <w:t>Das Bundesgericht hat im genannten Urteil 9C_ 2/2012 (E. 5.3) unter Hinweis auf die Gesetzgebung, Rechtsprechung und Lehre festgehalten, dass das Stiftungsvermögen von patronalen Wohlfahrtsfonds, wenn auch einseitig durch den Arbeitgeber finanziert, grundsätzlich allen Destinatären zusteht. Insofern haben sich auch patronale Wohlfahrtsfonds im Rahmen der ermessensweisen Verteilung von freien Stiftungsmitteln im Wesentlichen an das Willkürverbot, das Gleichbehandlungsgebot sowie an den Grundsatz von Treu und Glauben zu halten. Dabei können Wohlfahrtsfonds bei der Wahl der Verteilkriterien aufgrund ihrer Zwecksetzung durchaus andere Gewichtungen vornehmen als reglementarische Vorsorgeeinrichtungen.</w:t>
      </w:r>
    </w:p>
    <w:p>
      <w:r>
        <w:rPr>
          <w:b/>
        </w:rPr>
        <w:t>E. 9.4</w:t>
      </w:r>
    </w:p>
    <w:p>
      <w:r>
        <w:t>Aufgrund des in Art. 53d Abs. 1 BVG statuierten reglementarischen Konkretisierungsgebots (vgl. vorne E. 8), das nicht nur hinsichtlich der Voraussetzungen sondern auch für das Verfahren zur Teilliquidation gilt, ergibt sich für die Beschwerdeführerin, dass sie die genannten Grundsätze für die Verteilung von freien Mitteln in ihrem Teilliquidationsreglement konkret zu regeln hat. Demgegenüber erweist sich die vorliegende Regelung in Ziffer 5 des Teilliquidationsreglements, wie von der Vorinstanz zu Recht beanstandet, allgemein und unvollständig, indem einzelne Aspekte wie etwa die Verteilkriterien und der individuelle Anspruch nicht geregelt werden, und bietet damit keine Gewähr, dass die genannten gesetzlichen Grundsätze bei der Verteilung von freien Mitteln eingehalten werden.</w:t>
      </w:r>
    </w:p>
    <w:p>
      <w:r>
        <w:rPr>
          <w:b/>
        </w:rPr>
        <w:t>E. 10</w:t>
      </w:r>
    </w:p>
    <w:p>
      <w:r>
        <w:t>Zusammenfassend erweist sich nach dem Gesagten das Reglement der Beschwerdeführerin, wie von der Vorinstanz moniert, als unvollständig, indem die in Art. 53b Abs. 1 Bst. a und b BVG genannten Tatbestände sowie die Grundsätze für die Verteilung der freien Stiftungsmittel nicht geregelt werden. Die Vorinstanz hat das Reglement demzufolge zu Recht nicht genehmigt. Die angefochtene Verfügung ist daher zu bestätigen und bezüglich der von der Vorinstanz angeordneten Frist für die Einreichung eines überarbeiteten Teilliquidationsreglements bis zum 28. Februar 2010 (vgl. Dispositivziffer 2) entsprechend anzupassen, indem der Beschwerdeführerin eine neue angemessene Frist auferlegt wird. Demgegenüber ist die Beschwerdeführerin mit ihren Rügen nicht durchgedrungen, weshalb ihre Beschwerde abzuweisen ist.</w:t>
      </w:r>
    </w:p>
    <w:p>
      <w:r>
        <w:rPr>
          <w:b/>
        </w:rPr>
        <w:t>E. 11.1</w:t>
      </w:r>
    </w:p>
    <w:p>
      <w:r>
        <w:t>Dieser Ausgang des Verfahrens hat nach Art. 63 Abs. 1 VwVG zur Folge, dass die grösstenteils unterliegende Beschwerdeführerin kostenpflichtig wird. In Berücksichtigung des Umfangs und der Schwierigkeit der Streitsache (vgl. Art. 2 Abs. 1 des Reglements vom 21. Februar 2008 über die Kosten und Entschädigungen vor dem Bundesverwaltungsgericht [VGKE, SR 173.320.2]) werden die Verfahrenskosten auf Fr. 2'000.- festgelegt. Sie sind mit dem von der Beschwerdeführerin geleisteten Kostenvorschuss zu verrechnen.</w:t>
      </w:r>
    </w:p>
    <w:p>
      <w:r>
        <w:rPr>
          <w:b/>
        </w:rPr>
        <w:t>E. 11.2</w:t>
      </w:r>
    </w:p>
    <w:p>
      <w:r>
        <w:t>Der obsiegenden Partei kann von Amtes wegen oder auf Begehren eine Entschädigung für ihr erwachsene notwendige und verhältnismässig hohe Kosten zugesprochen werden (Art. 64 Abs. 1 VwVG). Die Vorinstanz hat als verfügende 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