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C-1101/2009 vom 13. Januar 2009</w:t>
      </w:r>
    </w:p>
    <w:p>
      <w:r>
        <w:t>Bundesverwaltungsgericht, 2009-01-13, IT</w:t>
      </w:r>
    </w:p>
    <w:p>
      <w:r>
        <w:rPr>
          <w:b/>
        </w:rPr>
        <w:t xml:space="preserve">Quelle: </w:t>
      </w:r>
      <w:r>
        <w:t>https://mcp.opencaselaw.ch/entscheid/bvger_C-1101_2009</w:t>
      </w:r>
    </w:p>
    <w:p>
      <w:r>
        <w:t>FR: TAF C-1101/2009 du 13 janvier 2009</w:t>
      </w:r>
    </w:p>
    <w:p>
      <w:r>
        <w:t>IT: TAF C-1101/2009 del 13 gennaio 2009</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L'interessata ha versato l'anticipo corrispondente alle presunte spese processuali di Fr. 300.-, entro il termine impartito.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Il periodo di cognizione giudiziaria dello scrivente Tribunale amministrativo federale si estende fino al 13 gennaio 2009, data dell'impugnata decisione. Il giudice delle assicurazioni sociali analizza, infatti, la legalità della decisione impugnata, in generale, secondo lo stato di fatto esistente al momento in cui la decisione in lite è stata resa (DTF 130 V citata).</w:t>
      </w:r>
    </w:p>
    <w:p>
      <w:r>
        <w:rPr>
          <w:b/>
        </w:rPr>
        <w:t>E. 5</w:t>
      </w:r>
    </w:p>
    <w:p>
      <w:r>
        <w:t>Per avere diritto ad una rendita dell'assicurazione invalidità svizzera, ogni richiedente deve adempiere cumulativamente le seguenti condizioni: essere invalido ai sensi della legge svizzera; aver versato contributi all'AVS/AI svizzera per un anno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la ricorrente ha versato contributi all'AVS/AI svizzera per un periodo superiore ai tre anni. Pertanto, l'interessata adempie la condizione della durata minima di contribuzione, alla quale la legge subordina l'erogazione di una rendita. Rimane ora da esaminare se sia invalida ai sensi di legge.</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6.3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6.5</w:t>
      </w:r>
    </w:p>
    <w:p>
      <w:r>
        <w:t>Per gli art. 5 LAI ed 8 cpv. 3 LPGA gli assicurati maggiorenni che prima di subire un danno alla salute fisica mentale o psichica non esercitavano un'attività lucrativa e dai quali non si può esigere che l'esercitino sono considerati invalidi se tale danno impedisce loro di svolgere le proprie mansioni consuete.</w:t>
      </w:r>
    </w:p>
    <w:p>
      <w:r>
        <w:rPr>
          <w:b/>
        </w:rPr>
        <w:t>E. 7.1</w:t>
      </w:r>
    </w:p>
    <w:p>
      <w:r>
        <w:t>Per quanto risulta dagli atti, l'interessata non ha più lavorato dopo il rimpatrio e si è dedicata ai lavori della propria economia domestica.</w:t>
      </w:r>
    </w:p>
    <w:p>
      <w:r>
        <w:rPr>
          <w:b/>
        </w:rPr>
        <w:t>E. 7.2</w:t>
      </w:r>
    </w:p>
    <w:p>
      <w:r>
        <w:t>La nozione d'invalidità di cui all'art. 4 LAI e 8 LPGA è di carattere giuridico economico, non medico (DTF 116 V 249 consid. 1b). In base all'art. 16 LPGA, applicabile per il rinvio dell'art. 28a cpv. 1,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w:t>
      </w:r>
    </w:p>
    <w:p>
      <w:r>
        <w:rPr>
          <w:b/>
        </w:rPr>
        <w:t>E. 7.3</w:t>
      </w:r>
    </w:p>
    <w:p>
      <w:r>
        <w:t>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28a cpv. 2 LAI). L'art. 27 dell'ordinanza del 17 gennaio 1961 sull'assicurazione per l'invalidità (OAI; RS 831.201) precisa che per mansioni consuete di una persona senza attività lucrativa occupata nell'economia domestica s'intendono gli usuali lavori domestici, l'educazione dei figli nonché le attività artistiche e di pubblica utilità.</w:t>
      </w:r>
    </w:p>
    <w:p>
      <w:r>
        <w:rPr>
          <w:b/>
        </w:rPr>
        <w:t>E. 7.4</w:t>
      </w:r>
    </w:p>
    <w:p>
      <w:r>
        <w:t>In carenza di documentazione economica, la documentazione medica costituisce un importante elemento di giudizio per determinare quali lavori siano ancora ragionevolmente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w:t>
      </w:r>
    </w:p>
    <w:p>
      <w:r>
        <w:rPr>
          <w:b/>
        </w:rPr>
        <w:t>E. 8</w:t>
      </w:r>
    </w:p>
    <w:p>
      <w:r>
        <w:t>Nel caso di specie, la ricorrente soffre essenzialmente di una non meglio investigata sindrome ansioso-depressiva ricorrente con disturbi da conversione, poco emendabile con psicofarmaci, frequenti ed oggettivati attacchi di panico, disturbi del sonno, cardiopatia ipertensiva, artropatia delle mani e dei piedi bilateralmente, poliartrosi del rachide non investigata, sovrappeso, esiti di isterectomia totale (cfr. perizia medica particolareggiata dell'11 agosto 2008, doc. 63 e relazione del Dott. Scarcella dell'11 giugno 2009 esibita in sede di replica).</w:t>
      </w:r>
    </w:p>
    <w:p>
      <w:r>
        <w:rPr>
          <w:b/>
        </w:rPr>
        <w:t>E. 9.1</w:t>
      </w:r>
    </w:p>
    <w:p>
      <w:r>
        <w:t>Per quanto concerne le conseguenze invalidanti delle menzionate affezioni, il medico dell'INPS pone un tasso d'invalidità del 55% (doc. 63). Dal canto loro, i medici dell'UAIE, Dott.ri Ribordy, Sereni Keller e Lehmann, escludono un'incapacità al lavoro di livello pensionabile come casalinga (doc. 65, 73, 75). Il Dott. Scarcella, autore della relazione sanitaria esibita in sede di replica, ritiene la paziente invalida in misura del cento per cento.</w:t>
      </w:r>
    </w:p>
    <w:p>
      <w:r>
        <w:rPr>
          <w:b/>
        </w:rPr>
        <w:t>E. 9.2</w:t>
      </w:r>
    </w:p>
    <w:p>
      <w:r>
        <w:t>Per quanto riguarda la valutazione dell'invalidità, può essere rilevato che l'indagine psichiatrica è carente. Da molti anni l'assicurata soffre di disturbi psichici piuttosto gravi. Questi si caratterizzano con frequenti attacchi di panico e di situazioni d'ansia che, più volte, hanno reso necessario l'intervento al pronto soccorso (cfr. doc. 16, 29, 30, 52, 53, 55, 58). Ora, ad atti si notano solo due succinti rapporti d'esame psichiatrico, di cui uno scarsamente leggibile (doc. 53, 58); quello esibito in sede di replica, del 21 febbraio 2009, non è migliore. Queste certificazioni e questi verbali di pronto intervento stanno comunque a dimostrare che la patologia psichiatria, per l'assicurata, riveste una forma morbosa di importante rilievo. Per questa ragione, la patologia psichiatrica avrebbe dovuto essere approfondita. Di principio un esame psichiatrico deve contenere un'anamnesi dettagliata, un rapporto oggettivo che riferisca sull'orientamento spazio-temporale della paziente, sull'umore e soprattutto, in questo caso trattandosi di disturbi di conversione e di panico, sulle idee presenti, sulla frequenza di stati morbosi acuti, sull'organizzazione mentale, sull'intuizione. Il certificato deve poi porre una diagnosi e una prognosi precise e deve pronunciarsi sulla capacità di lavoro residua. Ora, i certificati ad atti non permettono di rispondere a questi quesiti. La carenza della documentazione medica ad atti viene peraltro esplicitamente ammessa dal Dott. Ribordy (doc. 65, pag. 2). Dal canto suo, la Dott.ssa Sereni Keller entra nel merito della problematica psichiatrica, ma le sue considerazioni non sono convincenti nella misura in cui non si fondano su documenti oggettivi completi (doc. 73). Non migliore, in questo specifico tema, è la relazione del Dott. Lehmann (doc. 75), il quale criticando le valutazioni del Dott. Scarcella in materia psichiatrica, osserva che queste non sarebbero sorrette da rapporti specialistici attendibili. Ragion di più, questa osservazione, per far eseguire tale indagini fondamentali. Nel caso in esame può inoltre essere rilevata una lacuna nell'indagine ortopedica. Sembra che l'assicurata presenti limitazioni funzionali alle mani, difficoltà di marcia e dolori ad ambedue i piedi. Trattasi verosimilmente di un processo artrosico alle mani in fase avanzata, le cui ripercussioni pratiche a livello valetudinario non sono state ben riferite. È quindi indispensabile eseguire un nuovo rapporto d'esame ortopedico particolarmente volto alla problematica degli estremi arti inferiori e superiori. Viste queste lacune nella documentazione medica, neppure la valutazione dell'invalidità della Dott.ssa Sereni Keller, che ha ritenuto un grado d'invalidità del 31%, può essere confermata.</w:t>
      </w:r>
    </w:p>
    <w:p>
      <w:r>
        <w:rPr>
          <w:b/>
        </w:rPr>
        <w:t>E. 10.1</w:t>
      </w:r>
    </w:p>
    <w:p>
      <w:r>
        <w:t>Ora, fatte queste considerazioni, il collegio giudicante si trova nell'impossibilità di determinare l'eventuale incapacità di lavoro subita dall'interessata e da quando questa invalidità esisterebbe. 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w:t>
      </w:r>
    </w:p>
    <w:p>
      <w:r>
        <w:rPr>
          <w:b/>
        </w:rPr>
        <w:t>E. 10.2</w:t>
      </w:r>
    </w:p>
    <w:p>
      <w:r>
        <w:t>L'UAIE dovrà quindi completare l'istruttoria delucidando nuovamente la situazione medica. L'UAIE emanerà poi un nuovo provvedimento impugnabile. A tale fine, conformemente a quanto esposto al considerando precedente, la ricorrente dovrà essere sottoposta ad una perizia approfondita in psichiatria. Si richiederà inoltre un E 213 aggiornato ed un referto d'esame ortopedico approfondito. L'incarto sarà poi inviato in esame al servizio medico dell'UAIE, il quale si pronuncerà in merito all'evoluzione dell'incapacità al lavoro fra il 2008 ed il 13 gennaio 2009, nonché in merito alla sua capacità di attendere alle usuali incombenze domestiche.</w:t>
      </w:r>
    </w:p>
    <w:p>
      <w:r>
        <w:rPr>
          <w:b/>
        </w:rPr>
        <w:t>E. 11.1</w:t>
      </w:r>
    </w:p>
    <w:p>
      <w:r>
        <w:t>Visto l'esito del ricorso, non vengono prelevate spese processuali. L'anticipo di Fr. 300.-, corrispondente alle presunte spese processuali, versato dall'insorgente l'11 settembre 2009, le viene restituito.</w:t>
      </w:r>
    </w:p>
    <w:p>
      <w:r>
        <w:rPr>
          <w:b/>
        </w:rPr>
        <w:t>E. 11.2</w:t>
      </w:r>
    </w:p>
    <w:p>
      <w:r>
        <w:t>In base all'art. 64 PA, l'autorità di ricorso, se ammette il ricorso in tutto o in parte, può assegnare al ricorrente un'indennità per le spese indispensabili e relativamente elevate che ha sopportato. Nel caso in esame, viste la memoria di ricorso e di replica nonché la documentazione esibita, si giustifica riconoscere alla parte ricorrente un'indennità per spese ripetibili di Fr. 1'500.-, da porre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