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C-109/2006 vom 4. Oktober 2010</w:t>
      </w:r>
    </w:p>
    <w:p>
      <w:r>
        <w:t>Bundesverwaltungsgericht, 2010-10-04, DE</w:t>
      </w:r>
    </w:p>
    <w:p>
      <w:r>
        <w:rPr>
          <w:b/>
        </w:rPr>
        <w:t xml:space="preserve">Quelle: </w:t>
      </w:r>
      <w:r>
        <w:t>https://mcp.opencaselaw.ch/entscheid/bvger_C-109_2006</w:t>
      </w:r>
    </w:p>
    <w:p>
      <w:r>
        <w:t>FR: TAF C-109/2006 du 4 octobre 2010</w:t>
      </w:r>
    </w:p>
    <w:p>
      <w:r>
        <w:t>IT: TAF C-109/2006 del 4 ottobre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Bundesverwaltungericht Beschwerden gegen Verfügungen im Sinne von Art. 5 des Bundesgesetzes vom 20. Dezember 1968 über das Verwaltungsverfahren (VwVG, SR 172.021), sofern keine Ausnahme nach Art. 32 VGG vorliegt. Als Vorinstanzen gelten die in Art. 33 VGG genannten Behörden. Dazu gehört auch das BFM, das mit der Anordnung einer Einreisesperre eine Verfügung im erwähnten Sinne und daher ein zulässiges Anfechtungsobjekt erlassen hat. Eine Ausnahme nach Art. 32 VGG liegt nicht vor. Das Verfahren vor dem Bundesverwaltungsgericht richtet sich nach dem VwVG (vgl. Art. 37 VGG).</w:t>
      </w:r>
    </w:p>
    <w:p>
      <w:r>
        <w:rPr>
          <w:b/>
        </w:rPr>
        <w:t>E. 1.2</w:t>
      </w:r>
    </w:p>
    <w:p>
      <w:r>
        <w:t>Das Bundesverwaltungsgericht übernimmt, sofern es zuständig ist, die bei Inkrafttreten des Verwaltungsgerichtsgesetzes bei Eidgenössischen Rekurs- oder Schiedskommissionen oder bei Beschwerdediensten der Departemente hängigen Rechtsmittel. Für die Beurteilung gilt das neue Verfahrensrecht (vgl. Art. 53 VGG).</w:t>
      </w:r>
    </w:p>
    <w:p>
      <w:r>
        <w:rPr>
          <w:b/>
        </w:rPr>
        <w:t>E. 1.3</w:t>
      </w:r>
    </w:p>
    <w:p>
      <w:r>
        <w:t>Der Beschwerdeführer ist als materieller Verfügungsadressat zur Ergreifung des Rechtsmittels legitimiert (Art. 48 Abs. 1 VwVG). Auf die frist- und formgerecht eingereichte Beschwerde ist somit einzutreten (Art. 50 und 52 VwVG).</w:t>
      </w:r>
    </w:p>
    <w:p>
      <w:r>
        <w:rPr>
          <w:b/>
        </w:rPr>
        <w:t>E. 1.4</w:t>
      </w:r>
    </w:p>
    <w:p>
      <w:r>
        <w:t>Das Bundesverwaltungsgericht entscheidet endgültig (Art. 83 Bst. c Ziff. 1 des Bundesgerichtsgesetzes vom 17. Juni 2005 [BGG, SR 173.110]).</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Gründen gutheissen oder abweisen. Massgebend ist grundsätzlich die Sachlage zum Zeitpunkt seines Entscheides (vgl. E. 1.2 des in BGE 129 II 215 teilweise publizierten Urteils des Bundesgerichts 2A.451/2002 vom 28. März 2003 sowie Urteil des Bundesverwaltungsgerichts C-135/2006 vom 20. Dezember 2007 E. 2 mit weiteren Hinweisen).</w:t>
      </w:r>
    </w:p>
    <w:p>
      <w:r>
        <w:rPr>
          <w:b/>
        </w:rPr>
        <w:t>E. 3</w:t>
      </w:r>
    </w:p>
    <w:p>
      <w:r>
        <w:t>Mit Inkrafttreten des Bundesgesetzes vom 16. Dezember 2005 über die Ausländerinnen und Ausländer (AuG, SR 142.20) am 1. Januar 2008 wurde das Bundesgesetz vom 26. März 1931 über Aufenthalt und Niederlassung der Ausländer (ANAG, BS 1 121) abgelöst (vgl. Art. 125 AuG i.V.m. Ziff. I des Anhangs 2 zum AuG). Auf Verfahren, die vor dem Inkrafttreten des AuG eingeleitet wurden, bleibt das bisherige Recht anwendbar. Dabei ist ohne Belang, ob das Verfahren auf Gesuch hin oder von Amtes wegen eröffnet wurde (vgl. 126 Abs. 1 AuG; BVGE 2008/1 E. 2 mit Hinweisen). Die angefochtene Verfügung erging vor dem Inkrafttreten des AuG. Für die materielle Beurteilung der vorliegenden Beschwerde ist daher auf die altrechtliche Regelung, insbesondere auf Art. 13 Abs. 1 ANAG abzustellen.</w:t>
      </w:r>
    </w:p>
    <w:p>
      <w:r>
        <w:rPr>
          <w:b/>
        </w:rPr>
        <w:t>E. 4.1</w:t>
      </w:r>
    </w:p>
    <w:p>
      <w:r>
        <w:t>Gemäss Art. 13 Abs. 1 ANAG kann die eidgenössische Behörde über unerwünschte Ausländerinnen und Ausländer die Einreisesperre verhängen. Dies kann sie ferner, jedoch für höchstens drei Jahre, gegenüber ausländischen Personen, die sich grobe oder mehrfache Zuwiderhandlungen gegen fremdenpolizeiliche oder andere gesetzliche Bestimmungen und gestützt darauf erlassene behördliche Verfügungen haben zuschulden kommen lassen. Während der Einreisesperre ist der Ausländerin bzw. dem Ausländer jeder Grenzübertritt ohne ausdrückliche Ermächtigung der verfügenden Behörde untersagt.</w:t>
      </w:r>
    </w:p>
    <w:p>
      <w:r>
        <w:rPr>
          <w:b/>
        </w:rPr>
        <w:t>E. 4.2</w:t>
      </w:r>
    </w:p>
    <w:p>
      <w:r>
        <w:t>Die Einreisesperre ist der Natur nach eine präventivpolizeiliche Administrativmassnahme. Sie will der Gefahr künftiger Störungen der öffentlichen Ordnung und Sicherheit sowie anderer unter den Schutz des Ausländerrechts fallender Polizeigüter begegnen, die von Ausländerinnen und Ausländer ausgehen können. Ob eine solche Gefahr besteht, lässt sich erfahrungsgemäss nur in Form einer Prognose beurteilen, die sich auf das bisherige Verhalten der ausländischen Personen abstützt. In diesem Sinne gelten nach ständiger Praxis Ausländerinnen und Ausländer als "unerwünscht", deren Vorleben darauf schliessen lässt, dass sie nicht willens oder nicht fähig sind, sich in die geltende Ordnung einzufügen und deren Fernhaltung daher im öffentlichen Interesse liegt (vgl. BVGE 2008/24 E. 4.2 mit Hinweisen). Der Tatbestand der Unerwünschtheit wird typischerweise durch die Straffälligkeit einer ausländischen Person gesetzt.</w:t>
      </w:r>
    </w:p>
    <w:p>
      <w:r>
        <w:rPr>
          <w:b/>
        </w:rPr>
        <w:t>E. 4.3</w:t>
      </w:r>
    </w:p>
    <w:p>
      <w:r>
        <w:t>Die Fernhaltemassnahme knüpft - wie ausgeführt - an das Vorliegen einer Polizeigefahr an. Ob eine solche besteht und wie sie zu gewichten ist, hat die zuständige Behörde in eigener Kompetenz unter Zugrundelegung spezifisch ausländerrechtlicher Kriterien zu beurteilen. Entsprechend ist sie in der Regel nicht gehalten, den rechtskräftigen Abschluss eines Strafverfahrens abzuwarten. Eine Einreisesperre kann - entgegen der Meinung des Beschwerdeführers - grundsätzlich auch dann ergehen, wenn ein rechtskräftiges Strafurteil fehlt, sei es, weil ein Strafverfahren noch hängig ist, gar nicht eröffnet oder eingestellt wurde. (vgl. Urteil des Bundesverwaltungsgerichts C-7152/2008 vom 16. Juni 2010 E. 3.3 mit Hinweis). Insofern konnte sich der Beschwerdeführer im vorliegenden Verfahren auch vor dem rechtskräftigen Abschluss des Strafverfahrens nicht auf die Unschuldsvermutung berufen.</w:t>
      </w:r>
    </w:p>
    <w:p>
      <w:r>
        <w:rPr>
          <w:b/>
        </w:rPr>
        <w:t>E. 5</w:t>
      </w:r>
    </w:p>
    <w:p>
      <w:r>
        <w:t>Der Beschwerdeführer wurde - wie bereits erwähnt - für das ihm von der Vorinstanz vorgeworfene Verhalten (Betrug) strafrechtlich zur Verantwortung gezogen. Nachdem er die Appellation gegen das Strafurteil vom 9. Juni 2009 zurückgezogen hatte, hat er den vorher noch bestrittenen Sachverhalt, welcher sowohl die Grundlage für das Straf- als auch für das Massnahmeverfahren bildete, schliesslich anerkannt. Obwohl das Verhalten des Beschwerdeführers keine Gefährdung von Leib und Leben darstellte, kann von einem Bagatelldelikt keine Rede sein. Schliesslich handelt es sich bei Betrug weder um eine Übertretung noch um ein Vergehen, sondern um ein Verbrechen. Er hat damit zweifellos in gravierender Weise gegen die Rechtsordnung verstossen. Es ist daher nicht zu beanstanden, wenn die Vorinstanz in der angefochtenen Verfügung zum Schluss gekommen ist, dass der Beschwerdeführer aufgrund seines Verhaltens als unerwünschter Ausländer im Sinne von Art. 13 Abs. 1 Satz 1 ANAG zu betrachten sei.</w:t>
      </w:r>
    </w:p>
    <w:p>
      <w:r>
        <w:rPr>
          <w:b/>
        </w:rPr>
        <w:t>E. 6</w:t>
      </w:r>
    </w:p>
    <w:p>
      <w:r>
        <w:t>Es bleibt somit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ULRICH HÄFELIN / GEORG MÜLLER / FELIX UHLMANN, Allgemeines Verwaltungsrecht, 5. Aufl., Zürich / Basel / Genf 2006, Rz 613 ff.).</w:t>
      </w:r>
    </w:p>
    <w:p>
      <w:r>
        <w:rPr>
          <w:b/>
        </w:rPr>
        <w:t>E. 6.1</w:t>
      </w:r>
    </w:p>
    <w:p>
      <w:r>
        <w:t>Wie bereits erwähnt, hat der Beschwerdeführer durch sein Verhalten zu Klagen Anlass gegeben. Ein gewichtiges Interesse an der Fernhaltung des Beschwerdeführers ergibt sich deshalb ohne weiteres aus seiner Qualifizierung als unerwünschte Person. Auch wiegt sein Verschulden nicht leicht. Nach den Feststellungen des Strafrichters (vgl. Strafurteil vom 9. Juni 2009 S. 21) hat der Beschwerdeführer sein Opfer professionell und raffiniert durch Prophezeiungen verunsichert, durch allerlei Tricks und Rituale verwirrt und schliesslich in seinen Bann gezogen. Sein von Anfang an auf Täuschung beruhendes Vorgehen kann als dreist bezeichnet werden. Nicht leicht hingenommen werden darf, dass er nicht davor zurückschreckte, sein Opfer auf psychologischer Ebene gezielt zu manipulieren. Der Beschwerdeführer verletzte mit seinem deliktischen Handeln nicht nur die finanziellen Interessen von M._______, sondern tangierte auch dessen psychische Integrität. Bei dem ertrogenen Betrag von über Fr. 7'200.- kann auch nicht von einer geringen Deliktsumme gesprochen werden. Hinzu kommt, dass der Beschwerdeführer bis zum Rückzug der Appellation Ende Januar 2010 keine Einsicht bezüglich seines unrechtmässigen Verhaltens zeigte, was - trotz der eingereichten Bestätigungsschreiben in Bezug auf seine berufliche Tätigkeit bzw. seinen Leumund und auf die früheren Aufenthalte in der Schweiz, welche offenbar zu keinen Beanstandungen Anlass gegeben haben - nicht auf eine günstige Prognose schliessen lässt. Sowohl aus Gründen der Spezial- als auch der Generalprävention bestehen demnach gewichtige öffentliche Interessen an der Fernhaltung des Beschwerdeführers.</w:t>
      </w:r>
    </w:p>
    <w:p>
      <w:r>
        <w:rPr>
          <w:b/>
        </w:rPr>
        <w:t>E. 6.2</w:t>
      </w:r>
    </w:p>
    <w:p>
      <w:r>
        <w:t>Bezüglich eines persönlichen Interesses an ungehinderten Einreisen verweist der Beschwerdeführer auf seine berufliche Tätigkeit (Abklärung von Drehorten und Produktion eines Videos in der Schweiz). Offensichtlich handelte es sich dabei aber nicht um derart konkrete Vorhaben, die gemäss seinen Vorbringen in der Rechtsmitteleingabe Einreisen des Beschwerdeführers während der Dauer der Fernhaltemassnahme erfordert hätten. Trotz Wiederherstellung der aufschiebenden Wirkung der Beschwerde war er seit der Verhängung der Einreisesperre offenbar während mehr als vier Jahren in beruflicher Hinsicht nicht darauf angewiesen, in die Schweiz einzureisen (vgl. Aktennotiz vom 23. August 2010). Zudem bestehen die Wirkungen der Einreisesperre nicht darin, dass dem Beschwerdeführer während deren Geltungsdauer Besuchsaufenthalte in der Schweiz schlichtweg untersagt wären. Es steht ihm vielmehr die Möglichkeit offen, aus wichtigen Gründen die zeitweilige Suspension der angeordneten Fernhaltemassnahme zu beantragen (vgl. Art. 13 Abs. 1 ANAG bzw. Art. 67 Abs. 4 AuG). Die Suspension wird aber praxisgemäss nur für eine kurze und klar begrenzte Zeit gewährt (vgl. Urteil des Bundesverwaltungsgerichts C-8229/2008 vom 8. Juli 2009 E. 6.4 mit Hinweisen). Weitere persönliche Interessen an ungehinderten Einreisen bringt der Beschwerdeführer nicht vor und ergeben sich auch nicht aus den Akten.</w:t>
      </w:r>
    </w:p>
    <w:p>
      <w:r>
        <w:rPr>
          <w:b/>
        </w:rPr>
        <w:t>E. 6.3</w:t>
      </w:r>
    </w:p>
    <w:p>
      <w:r>
        <w:t>Eine wertende Gewichtung der sich entgegenstehenden Interessen führt das Bundesverwaltungsgericht somit zum Schluss, dass die auf fünf Jahre befristete Einreisesperre eine verhältnismässige und angemessene Massnahme zum Schutz der öffentlichen Sicherheit und Ordnung darstellt.</w:t>
      </w:r>
    </w:p>
    <w:p>
      <w:r>
        <w:rPr>
          <w:b/>
        </w:rPr>
        <w:t>E. 7</w:t>
      </w:r>
    </w:p>
    <w:p>
      <w:r>
        <w:t>Aus diesen Erwägungen ergibt sich, dass die angefochtene Verfügung im Lichte von Art. 49 VwVG rechtsmässig ist. Die Beschwerde ist daher abzuweisen. Damit wird die mit Zwischenverfügung des EJPD vom 4. Mai 2006 angeordnete Wiederherstellung der aufschiebenden Wirkung der Beschwerde hinfällig.</w:t>
      </w:r>
    </w:p>
    <w:p>
      <w:r>
        <w:rPr>
          <w:b/>
        </w:rPr>
        <w:t>E. 8</w:t>
      </w:r>
    </w:p>
    <w:p>
      <w:r>
        <w:t>Entsprechend dem Ausgang des Verfahrens sind dem Beschwerdeführer die Kosten aufzuerlegen (Art. 63 Abs. 1 VwVG). Diese sind auf Fr. 700.- festzusetzen (Art. 1, Art. 2 und Art. 3 Bst. b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