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C-1092/2013 vom 25. Oktober 2013</w:t>
      </w:r>
    </w:p>
    <w:p>
      <w:r>
        <w:t>Bundesverwaltungsgericht, 2013-10-25, DE</w:t>
      </w:r>
    </w:p>
    <w:p>
      <w:r>
        <w:rPr>
          <w:b/>
        </w:rPr>
        <w:t xml:space="preserve">Quelle: </w:t>
      </w:r>
      <w:r>
        <w:t>https://mcp.opencaselaw.ch/entscheid/bvger_C-1092_2013</w:t>
      </w:r>
    </w:p>
    <w:p>
      <w:r>
        <w:t>FR: TAF C-1092/2013 du 25 octobre 2013</w:t>
      </w:r>
    </w:p>
    <w:p>
      <w:r>
        <w:t>IT: TAF C-1092/2013 del 25 ottobre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w:t>
      </w:r>
    </w:p>
    <w:p>
      <w:r>
        <w:t>Der angefochtenen Verfügung liegt das Gesuch einer kosovarischen Staatsangehörigen um Erteilung eines Visums für einen zweimonatigen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Republik Kosovo zu diesen Staaten zählt, unterliegt die Gesuchstellerin der Visumspflicht.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Dass im Heimatland der Gesuchstellerin grosse Teile der Bevölkerung von wirtschaftlich ungünstigen Verhältnissen betroffen sind, kann nicht in Abrede gestellt werden. Das Durchschnittseinkommen lag 2011 bei etwa 300 Euro pro Monat. Damit gehört Kosovo weiter zu den ärmsten Ländern Europas. Trotz grosser internationaler Unterstützung ist es bisher nicht gelungen, eine Wachstumsdynamik einzuleiten und die Transferleistungen aus der Diaspora bilden weiterhin einen bedeutenden wirtschaftlichen Faktor. Die Arbeitslosenrate stellt eine der grössten Herausforderungen für die sozio-ökonomische Entwicklung des Landes dar. Sie liegt Schätzungen zufolge bei rund 45%, wobei in der Gruppe der 15- bis 25-Jährigen über 70% erwerbslos sind. Angesichts des hohen Anteils der Beschäftigten im informellen Sektor sind diese Zahlen jedoch etwas zu relativieren (Quelle: Deutsches Auswärtiges Amt, www.auswaertiges-amt.de &gt; Aussen- und Europapolitik &gt; Länderinformationen &gt; Kosovo &gt; Wirtschaftspolitik, Stand: April 2013, besucht im Oktober 2013). Vor diesem Hintergrund besteht vielfach der Wille zur Auswanderung, welcher sich besonders stark bei jüngeren und ungebundenen Personen manifestiert. Ein im Ausland bereits bestehendes, minimales soziales Beziehungsnetz aus Verwandten oder Freunden ist zudem ein wichtiges Element, das den Entscheid auszuwandern noch akzentuieren kann. Dementsprechend hoch ist der Zuwanderungsdruck in der Schweiz und anderen Teilen Europas.</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26-jährige, unverheiratete und kinderlose Frau. Laut dem Übermittlungsblatt der Schweizer Vertretung zuhanden des BFM vom 14. Dezember 2012 ist niemand in ihrer Familie erwerbstätig. Unterlagen zur finanziellen Lage seien sodann keine vorgelegt worden.</w:t>
      </w:r>
    </w:p>
    <w:p>
      <w:r>
        <w:rPr>
          <w:b/>
        </w:rPr>
        <w:t>E. 6.2</w:t>
      </w:r>
    </w:p>
    <w:p>
      <w:r>
        <w:t>Was die aktuelle berufliche Tätigkeit anbelangt, so haben die Beschwerdeführer im Rahmen der Inlandabklärung vom 16. Januar 2013 mittgeteilt, dass die Gesuchstellerin keiner Arbeit nachgehe. In ihrer Beschwerde gaben sie dann jedoch an, dass die Gesuchstellerin seit dem 1. Februar 2013 arbeite und reichten eine deutsche Übersetzung des angeblich abgeschlossenen Arbeitsvertrages zu den Akten. Die hierauf durch die Schweizer Auslandsvertretung in Pristina vorgenommene Überprüfung der Arbeitssituation der Gesuchstellerin ergab, dass sie nicht belegen konnte, tatsächlich seit Februar 2013 arbeitstätig zu sein. So konnte sie weder einen Arbeitsvertrag im Original noch einen Bankkontoauszug oder anderweitige Belege über Lohnzahlungen vorlegen. Zu diesen Vorhalten gaben die Beschwerdeführer keine Stellungnahme ab, obwohl sie explizit dazu aufgefordert wurden. Die gesamte Sachlage lässt nicht darauf schliessen, dass die Gesuchstellerin in einem Arbeitsverhältnis steht oder dass sie in einer für sie zufriedenstellenden finanziellen Situation lebt. Von daher besteht eine nicht geringe Wahrscheinlichkeit, dass sie mit ihrer Einreise in die Schweiz andere als Besuchszwecke verbindet. In diesem Zusammenhang ist es nicht ohne Belang, dass ihre Schwester mit dem Ehemann in der Schweiz lebt und hier ihr Auskommen gefunden hat. Dass die Gesuchstellerin versuchen könnte es ihr gleich zu tun, kann nicht ausgeschlossen werden.</w:t>
      </w:r>
    </w:p>
    <w:p>
      <w:r>
        <w:rPr>
          <w:b/>
        </w:rPr>
        <w:t>E. 6.3</w:t>
      </w:r>
    </w:p>
    <w:p>
      <w:r>
        <w:t>Sodann haben die Beschwerdeführer keine überzeugenden Gründe genannt, die für eine anstandslose Wiederausreise ihres Gastes sprechen könnten. Vielmehr sind sie der Ansicht, dass ihre eigenen abgegebenen Erklärungen, zusammen mit den Beteuerungen der Gesuchstellerin, deren Rückkehrwillen hinreichend belegen. Angesichts der Tatsache, dass sie gemäss den Feststellungen der Gemeindeverwaltung ihrer Wohnsitzgemeinde nicht in der Lage seien, den durch die Verpflichtungserklärung vom 16. Januar 2013 eingegangenen Verpflichtungen nachzukommen, weil sie zu wenig Einkommen und Vermögen hätten, sind diese Erklärungen ohnehin zu relativieren. Doch selbst wenn an der Ernsthaftigkeit der Beteuerungen, für ihren Gast in jeglicher Hinsicht die Verantwortung zu übernehmen, keine Zweifel bestehen, so kann darauf nicht abgestellt werden. Gastgeber können zwar für gewisse finanzielle Risiken im Zusammenhang mit einem Besuchsaufenthalt garantieren, nicht jedoch für die tatsächlichen Absichten und für ein bestimmtes Verhalten ihrer Gäste (vgl. BVGE 2009/27 E. 9). Von daher kann es auch keine Rolle spielen, wenn in der Vergangenheit andere Besucher der gleichen Beschwerdeführer anstandslos wieder in ihr Heimatland zurückgereist sind.</w:t>
      </w:r>
    </w:p>
    <w:p>
      <w:r>
        <w:rPr>
          <w:b/>
        </w:rPr>
        <w:t>E. 6.4</w:t>
      </w:r>
    </w:p>
    <w:p>
      <w:r>
        <w:t>Vor dem aufgezeigten Hintergrund durfte die Vorinstanz demnach davon ausgehen, dass keine hinreichende Gewähr für eine fristgerechte und anstandslose Wiederausreise der Gesuchstellerin nach einem Besuchsaufenthalt besteht. Mit der fehlenden Gewähr für eine anstandslose Wiederausreise ist eine zwingende Voraussetzung zur Erteilung eines Schengen-Visums nicht erfüllt. Gründe für die Ausstellung eines Visums mit räumlich beschränkter Gültigkeit (vgl. dazu Ziffer 4.5 hiervor) werden nicht vorgebracht und liegen auch nicht vor.</w:t>
      </w:r>
    </w:p>
    <w:p>
      <w:r>
        <w:rPr>
          <w:b/>
        </w:rPr>
        <w:t>E. 7</w:t>
      </w:r>
    </w:p>
    <w:p>
      <w:r>
        <w:t>Aus den vorstehenden Erwägungen folgt, dass die angefochtene Verfügung im Lichte von Art. 49 VwVG nicht zu beanstanden ist. Die Beschwerde ist daher abzuweisen.</w:t>
      </w:r>
    </w:p>
    <w:p>
      <w:r>
        <w:rPr>
          <w:b/>
        </w:rPr>
        <w:t>E. 8</w:t>
      </w:r>
    </w:p>
    <w:p>
      <w:r>
        <w:t>Bei diesem Ausgang des Verfahrens werden die unter­liegenden Be­schwerdeführer kostenpflichtig (Art. 63 Abs. 1 VwVG, Art. 1, 2 und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