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C-1083/2012 vom 21. Juli 2014</w:t>
      </w:r>
    </w:p>
    <w:p>
      <w:r>
        <w:t>Bundesverwaltungsgericht, 2014-07-21, DE</w:t>
      </w:r>
    </w:p>
    <w:p>
      <w:r>
        <w:rPr>
          <w:b/>
        </w:rPr>
        <w:t xml:space="preserve">Quelle: </w:t>
      </w:r>
      <w:r>
        <w:t>https://mcp.opencaselaw.ch/entscheid/bvger_C-1083_2012</w:t>
      </w:r>
    </w:p>
    <w:p>
      <w:r>
        <w:t>FR: TAF C-1083/2012 du 21 juillet 2014</w:t>
      </w:r>
    </w:p>
    <w:p>
      <w:r>
        <w:t>IT: TAF C-1083/2012 del 21 luglio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3.2</w:t>
      </w:r>
    </w:p>
    <w:p>
      <w:r>
        <w:t>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erfolgt oder die Scheidung eingeleitet wird (vgl. dazu und zum vor­angehenden BGE 135 II 161 E. 2 S. 165 mit Hinweisen).</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4.2</w:t>
      </w:r>
    </w:p>
    <w:p>
      <w:r>
        <w:t>Weiss die betroffene Person, dass die Voraussetzungen für die er­leichterte Einbürgerung auch im Zeitpunkt der Verfügung vorliegen müs­sen, so muss sie die mit dem Einbürgerungsgesuch befasste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 S. 115 f.).</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2. Mai 2011 E. 5.3 mit Hinweisen).</w:t>
      </w:r>
    </w:p>
    <w:p>
      <w:r>
        <w:rPr>
          <w:b/>
        </w:rPr>
        <w:t>E. 5.1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 Grund einer als durchgesetzt bewerteten Lebenserfahrung gezogen werden (vgl. dazu BGE 135 II 161 E. 3 mit Hinweisen). Dazu gehört der Erfahrungssatz, dass der Zerfall einer zuvor intakten Ehe einen Prozess darstellt, der gewisse Zeit in Anspruch nimmt.</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6.1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anwendbar auf alle Einbürgerungsfälle, in denen die altrechtliche Frist von fünf Jahren nicht bereits vor Inkrafttreten des neuen Rechts abgelaufen ist. Die unter altem Recht verstrichene Zeit ist dabei an die absolute achtjährige Frist anzurechnen. Was die relative zweijährige Frist anbetrifft, so kann sie als Neuerung ohne Gegenstück im alten Recht frühestens auf den Zeitpunkt des Inkrafttretens des neuen Rechts zu laufen beginnen (Urteil des Bundesverwaltungsgerichts C-476/2012 vom 19. Juli 2012 E. 4.4 mit Hinweis, vgl. auch die Konstellation im Urteil des Bundesgerichts 1C_516/2012 vom 29. Juli 2013).</w:t>
      </w:r>
    </w:p>
    <w:p>
      <w:r>
        <w:rPr>
          <w:b/>
        </w:rPr>
        <w:t>E. 6.2</w:t>
      </w:r>
    </w:p>
    <w:p>
      <w:r>
        <w:t>In der vorliegenden Streitsache sind die formellen Voraussetzungen von Art. 41 Abs. 1 und Abs. 1bis BüG erfüllt. Die von Abs. 1 geforderte Zustimmung des Heimatkantons liegt vor und die relative zweijährige sowie die absolute achtjährige Frist in Abs. 1bis wurden gewahrt.</w:t>
      </w:r>
    </w:p>
    <w:p>
      <w:r>
        <w:rPr>
          <w:b/>
        </w:rPr>
        <w:t>E. 7.1</w:t>
      </w:r>
    </w:p>
    <w:p>
      <w:r>
        <w:t>In materieller Hinsicht stellt sich die Streitsache gestützt auf die Aktenlage wie folgt dar: Nachdem sein Asylgesuch in der Schweiz im Februar 2000 rechtskräftig abgewiesen und er zur Ausreise verpflichtet worden war, heiratete der Beschwerdeführer am 4. Dezember 2002 im Kosovo eine Schweizer Bürgerin und kam so im März 2003 doch noch zu einem Anwesenheitsrecht. Am 6. Februar 2006 beantragte er die erleichterte Einbürgerung. Am 20. Februar 2007 unterzeichneten die Ehegatten die gemeinsame Erklärung zum Zustand der ehelichen Gemeinschaft und am 13. März 2007 erfolgte die erleichterte Einbürgerung des Beschwerdeführers. Nach eigenen Angaben im März 2008 trennten sich die Ehegatten und am 7. Mai 2008 stellten sie beim zuständigen Gericht ein gemeinsames Scheidungsbegehren. Am 8. September 2008 wurde die Ehe geschieden. Rund ein halbes Jahr später, am 29. April 2009, verheiratete sich der Be­schwerdeführer im Kosovo von neuem, diesmal mit einer 1986 gebore­nen Frau aus seinem angestammten Kulturkreis.</w:t>
      </w:r>
    </w:p>
    <w:p>
      <w:r>
        <w:rPr>
          <w:b/>
        </w:rPr>
        <w:t>E. 7.2</w:t>
      </w:r>
    </w:p>
    <w:p>
      <w:r>
        <w:t>Diese Chronologie der Ereignisse - insbesondere der kurze Zeitraum von ca. 12 Monaten zwischen erleichterter Einbürgerung und faktischer Trennung sowie die rasche Einreichung eines gemeinsamen Scheidungs­begehrens kaum zwei Monate später - begründet ohne weiteres die natürliche Vermutung, dass die Ehe des Beschwerdeführers zum Zeitpunkt der gemeinsamen Erklärung bzw. der erleichterten Einbürgerung tatsächlich nicht intakt war und die Einbürgerungsbehörde von den Ehegatten über diesen Umstand getäuscht wurde (vgl. anstelle vieler Urteil des Bundesgerichts 1C_781/2013 vom 13. Februar 2014 E. 4.1.3 mit Hinweisen). Es liegt demnach am Beschwerdeführer, einen alternativen Geschehensablauf im Sinne der vorstehenden Erwägungen vorzutragen.</w:t>
      </w:r>
    </w:p>
    <w:p>
      <w:r>
        <w:rPr>
          <w:b/>
        </w:rPr>
        <w:t>E. 7.3.1</w:t>
      </w:r>
    </w:p>
    <w:p>
      <w:r>
        <w:t>In seinen schriftlichen Stellungnahmen vom 3. Oktober und 21. Dezember 2011 liess der Beschwerdeführer einwenden, er habe mit seiner schweizerischen Ehefrau bis über den Abschluss des Einbürgerungsverfahrens hinaus eine sehr harmonische Ehe geführt. Auslöser für den später eingetretenen raschen Zerfall der Beziehung seien Unstimmigkeiten gewesen, die sich während eines einwöchigen Ferienaufenthalts in Tunesien im Sommer 2007 zugetragen hätten. Seine Ehefrau habe während praktisch der ganzen Woche unter Übelkeit und Bauchschmerzen gelitten und das Bett nicht verlassen. Er selbst sei mit dieser Situation überfordert gewesen und habe die Anzeichen nicht richtig gedeutet. Er habe sich wegen dieser vermeintlichen Lappalie die Ferien nicht verderben lassen wollen und habe deshalb gegen den Willen der Ehefrau auf gemeinsamen Aktivitäten bestanden. Die Ehefrau ihrerseits habe sich respektlos behandelt und ungeliebt gefühlt. Er habe sich zwar noch entschuldigt und einen Arzt organisiert. Sein vorgängiges Verhalten habe sich aber im Nachhinein als einschneidendes Ereignis erwiesen, indem seine Ehefrau das Vertrauen in ihn nicht mehr zurückerlangt habe und die Liebe nach und nach erloschen sei. Es sei ein schleichender Prozess gewesen, der sich seit diesen verhängnisvollen Ferien in Tunesien immer weiter konkretisiert und schliesslich zur Trennung geführt habe. Was die Ehefrau vorher sympathisch und interessant empfunden habe - wie beispielsweise die unterschiedliche Kultur und Religion - sei immer mehr zur unüberwindbaren Hürde geworden. Die Initiative zur Trennung sei von der Ehefrau ausgegangen. Er sei von ihrem Wunsch nach Scheidung zwar sehr überrascht gewesen, habe aber zugestimmt, weil er in seinem Stolz tief verletzt worden sei.</w:t>
      </w:r>
    </w:p>
    <w:p>
      <w:r>
        <w:rPr>
          <w:b/>
        </w:rPr>
        <w:t>E. 7.3.2</w:t>
      </w:r>
    </w:p>
    <w:p>
      <w:r>
        <w:t>In ihrer schon ein Jahr zuvor (Ende September 2010) abgegebenen schriftlichen Stellungnahme hatte sich auch die geschiedene Ehefrau dahingehend geäussert, dass ihre Ehe bis nach der erleichterten Einbürgerung ihres Mannes stabil gewesen sei. Die Beziehung sei bis etwa ein Jahr vor der Scheidung gut verlaufen, bzw. ab diesem Zeitpunkt seien Schwierigkeiten aufgetreten (Antworten auf Fragen 2.a und 2.b). Hintergrund dieser Schwierigkeiten seien "Religion" und "Verständnis" (recte wohl "fehlendes Verständnis") für ihre Vergangenheit gewesen. In Bezug auf die Entwicklung der Beziehung nach Abschluss des Einbürgerungsverfahrens äusserte sich die geschiedene Ehefrau nicht widerspruchsfrei. So hielt sie auf eine erste Frage, was nach der Einbürgerung geschehen sei, das eine Fortführung der Ehe verunmöglicht habe, fest, es sei nichts passiert; sie hätten nur gemerkt, dass ihre Religionen zu verschieden seien (Frage und Antwort Nr. 6). Auf die nachfolgende Frage, ob es ein Ereignis gebe, das kurze Zeit nach der erleichterten Einbürgerung stattgefunden habe und fähig gewesen sei, ihre Ehe innert kurzer Zeit zu zerstören, erwähnte die geschiedene Ehefrau den Ferienaufenthalt im Sommer 2007 in Tunesien. Sie sei dort sehr krank geworden und habe das Hotelzimmer nicht mehr verlassen können. Der Beschwerdeführer habe kein Verständnis gezeigt und mit ihr einen Ausflug machen wollen. Dieser Tag sei sehr schlimm gewesen und sie habe in diesem Moment nur Hass verspürt (Frage und Antwort Nr. 7). Zur achten Frage schliesslich, von wem der Trennungswunsch ausgegangen sei, vermerkte die geschiedene Ehefrau: "Zuerst von mir und nach einem langen Gespräch dann von uns beiden".</w:t>
      </w:r>
    </w:p>
    <w:p>
      <w:r>
        <w:rPr>
          <w:b/>
        </w:rPr>
        <w:t>E. 7.4</w:t>
      </w:r>
    </w:p>
    <w:p>
      <w:r>
        <w:t>Die Vorinstanz argumentiert in der angefochtenen Verfügung im Wesentlichen, der Beschwerdeführer habe nach Erhalt der erleichterten Einbürgerung planmässig darauf hingewirkt, die Ehe zu zerstören. Das manifestiere sich in seinem rücksichtslosen Verhalten während des Ferienaufenthalts in Tunesien, aber auch in der Unterlassung jeglichen Versuchs, die Ehe später noch zu retten. Von diesem planmässigen Vorgehen habe die Ehefrau während des Einbürgerungsverfahrens noch nichts wissen können. In ihrer subjektiven Wahrnehmung sei sie davon ausgegangen, ihre Ehe sei stabil.</w:t>
      </w:r>
    </w:p>
    <w:p>
      <w:r>
        <w:rPr>
          <w:b/>
        </w:rPr>
        <w:t>E. 7.5.1</w:t>
      </w:r>
    </w:p>
    <w:p>
      <w:r>
        <w:t>Das Bundesverwaltungsgericht teilt die Einschätzung der Vorinstanz insofern, als im Zeitpunkt der erleichterten Einbürgerung tatsächlich nicht von einer intakten, auf Zukunft ausgerichteten ehelichen Gemeinschaft ausgegangen werden konnte. Dass - wie die Vorinstanz annimmt - es zu diesem Zeitpunkt dem Beschwerdeführer einseitig am Willen zur Aufrechterhaltung der Ehe gefehlt und er den Ferienaufenthalt im Sommer 2007 bewusst zum Anlass genommen haben soll, um seine Ehefrau auf eine vordergründig wohlgemeinte Art zu bedrängen und dadurch die eheliche Gemeinschaft nachhaltig zu destabilisieren, erscheint allerdings als fraglich. Das Bundesverwaltungsgericht gelangt aufgrund der Akten vielmehr zum Schluss, dass die Ehe entgegen der Behauptung der Beteiligten schon früher belastet gewesen sein muss und dem Ereignis während des Ferienaufenthalts in Tunesien zwar gewisse Bedeutung beigemessen werden kann, allerdings nicht im Sinne der geltend gemachten abrupt ausgelösten Destabilisierung einer zuvor während 4 ½ Jahren gelebten intakten ehelichen Beziehung, sondern vielmehr im Sinne einer in Erinnerung gebliebenen Meinungsverschiedenheit, wie sie in jeder Ehe auftreten kann und normalerweise zu verkraften ist; hier aber von der Ehefrau vor dem Hintergrund einer bereits belasteten Beziehung besonders empfunden wurde.</w:t>
      </w:r>
    </w:p>
    <w:p>
      <w:r>
        <w:rPr>
          <w:b/>
        </w:rPr>
        <w:t>E. 7.5.2</w:t>
      </w:r>
    </w:p>
    <w:p>
      <w:r>
        <w:t>Die Annahme einer bereits zuvor bestandenen Zerrüttung scheint umso mehr berechtigt, als in auffallender Weise weder der Beschwerdeführer noch seine geschiedene Ehefrau in ihren Stellungnahmen näher auf die konkreten Umstände der Ereignisse während der Ferien in Tunesien einging. Immerhin spricht die geschiedene Ehefrau in ihrer mehrfach erwähnten schriftlichen Stellungnahme davon, dass der Beschwerdeführer kein Verständnis für ihre Situation gehabt habe und "einen Ausflug" habe machen wollen. "Dieser Tag" sei für sie sehr schlimm gewesen. Sie habe "in diesem Moment" nur Hass empfunden. Die Formulierungen lassen darauf schliessen, dass es sich um einen isolierten, einmaligen Anlass handelte, der zu einem Disput führte. Kommt hinzu, dass sich der Beschwerdeführer noch vor Ort für sein Drängen entschuldigt und einen Arzt gerufen haben will. Vor diesem Hintergrund ist nicht nachvollziehbar, dass sein Fehlverhalten Auslöser für eine Entfremdung gewesen sein soll, die eine zuvor intakte Ehe innert knapp neun Monaten zu Fall brachte.</w:t>
      </w:r>
    </w:p>
    <w:p>
      <w:r>
        <w:rPr>
          <w:b/>
        </w:rPr>
        <w:t>E. 7.5.3</w:t>
      </w:r>
    </w:p>
    <w:p>
      <w:r>
        <w:t>Oberflächlich blieben auch die Angaben des Beschwerdeführers und seiner geschiedenen Ehefrau zur Entwicklung der ehelichen Beziehung nach den Ereignissen während der Ferien in Tunesien. Der Beschwerdeführer äusserte dazu nur, dass von der Ehefrau danach vieles, was sie zuvor als bereichernd empfunden habe - wie die unterschiedliche Kultur und Religion - als Problem wahrgenommen worden sei (Stellungnahme vom 3. Oktober 2011, Ziff. 2). Ihr Wunsch nach Trennung sei für ihn überraschend gekommen, er habe sich dem aber aus einem Gefühl verletzten Stolzes heraus nicht widersetzt (a.a.O., Ziff. 6). Die geschiedene Ehefrau vermerkte dazu in ihrer schriftlichen Aussage, der Wunsch nach Trennung sei von ihr ausgegangen und nach einem langen Gespräch vom Beschwerdeführer mitgetragen worden. Dass eine zuvor während mehr als vier Jahren gelebte intakte Beziehung auf diese Weise - innert knapp neun Monaten und ohne den geringsten Versuch einer Rettung - aufgegeben wird, ist nicht nachvollziehbar, auch nicht, wenn beim Beschwerdeführer verletzter Stolz mitgespielt haben soll.</w:t>
      </w:r>
    </w:p>
    <w:p>
      <w:r>
        <w:rPr>
          <w:b/>
        </w:rPr>
        <w:t>E. 7.6</w:t>
      </w:r>
    </w:p>
    <w:p>
      <w:r>
        <w:t>Im Zusammenhang mit der Wiederverheiratung und dem Familiennachzug sind durchaus Auffälligkeiten festzustellen, die - nebst der vorzeitigen Einleitung des Einbürgerungsverfahrens - als weiteres Indiz für die Richtigkeit der Vermutungsbasis dienen können, wonach die Ehe schon während des Einbürgerungsverfahrens nicht mehr intakt war. Tatsache ist, dass der Beschwerdeführer sich im April 2009 und damit nur gut ein halbes Jahr nach der Scheidung von seiner schweizerischen Ehefrau erneut verheiratete, diesmal mit einer Frau aus seinem Kulturkreis. Fakt ist auch, dass die neue Ehefrau gemäss Feststellung der Schweizerischen Vertretung in Pristina Ende Februar 2009 angegeben habe, seit einem Jahr mit dem Beschwerdeführer verlobt gewesen zu sein; die Verlobung demnach in den Zeitraum der Trennung von der Schweizer Ehefrau fiel. Das solchermassen rasche Auflösen einer bestehenden und Eingehen einer neuen Beziehung lässt sich weder mit kulturell bedingten Eigenheiten (Ehe als zwingende Voraussetzung zur Verwirklichung einer Lebensgemeinschaft) noch mit dem Umstand erklären, dass die heutige Ehe von nahen Angehörigen arrangiert worden sein soll.</w:t>
      </w:r>
    </w:p>
    <w:p>
      <w:r>
        <w:rPr>
          <w:b/>
        </w:rPr>
        <w:t>E. 7.7</w:t>
      </w:r>
    </w:p>
    <w:p>
      <w:r>
        <w:t>Schliesslich kann die Richtigkeit der Vermutungsbasis entgegen der Meinung des Beschwerdeführers nicht mit dem Umstand in Frage gestellt werden, dass im Sommer 2007 überhaupt noch gemeinsame Ferien stattfanden. Solches Verhalten lässt zwar nach allgemeiner Lebenserfahrung ausschliessen, dass die Eheleute schon heillos zerstritten sind, vermag aber darüber hinaus nichts über die Qualität und den Zustand einer Ehe auszusagen. Gemeinsame Ferien können gerade auch Ausfluss von Bemühungen sein, eine bereits belastete Beziehung wieder zu festigen.</w:t>
      </w:r>
    </w:p>
    <w:p>
      <w:r>
        <w:rPr>
          <w:b/>
        </w:rPr>
        <w:t>E. 8</w:t>
      </w:r>
    </w:p>
    <w:p>
      <w:r>
        <w:t>Aus den vorgenannten Gründen ist es dem Beschwerdeführer nicht gelungen, die gegen ihn sprechende natürliche Vermutung erfolgreich in Frage zu stellen, wonach zwischen ihm und seiner damaligen Ehefrau im Zeitpunkt der gemeinsamen Erklärung zum Zustand der Ehe bzw. der erleichterten Einbürgerung keine intakte, auf Zukunft gerichtete eheliche Gemeinschaft (mehr) bestand. Indem der Beschwerdeführer in der gemeinsamen Erklärung den Bestand einer intakten und stabilen Ehe versicherte und weder davor noch danach Vorbehalte anbrachte, hat er die mit der Einbürgerung befasste Behörde über wesentliche Tatsachen getäuscht und die erleichterte Einbürgerung im Sinne von Art. 41 Abs. 1 BüG erschlichen. Die materiellen Voraussetzungen für die Nichtigerklärung der erleichterten Einbürgerung sind somit erfüllt. Gründe, die es rechtfertigen würden, ermessensweise von der Regelfolge der Nichtigerklärung abzusehen, sind keine ersichtlich.</w:t>
      </w:r>
    </w:p>
    <w:p>
      <w:r>
        <w:rPr>
          <w:b/>
        </w:rPr>
        <w:t>E. 9</w:t>
      </w:r>
    </w:p>
    <w:p>
      <w:r>
        <w:t>Gesamthaft ergibt sich, dass die angefochtene Verfügung im Lichte von Art. 49 VwVG nicht zu beanstanden ist. Die Beschwerde ist daher abzuweisen.</w:t>
      </w:r>
    </w:p>
    <w:p>
      <w:r>
        <w:rPr>
          <w:b/>
        </w:rPr>
        <w:t>E. 10</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