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C-1077/2012 vom 6. März 2013</w:t>
      </w:r>
    </w:p>
    <w:p>
      <w:r>
        <w:t>Bundesverwaltungsgericht, 2013-03-06, FR</w:t>
      </w:r>
    </w:p>
    <w:p>
      <w:r>
        <w:rPr>
          <w:b/>
        </w:rPr>
        <w:t xml:space="preserve">Quelle: </w:t>
      </w:r>
      <w:r>
        <w:t>https://mcp.opencaselaw.ch/entscheid/bvger_C-1077_2012</w:t>
      </w:r>
    </w:p>
    <w:p>
      <w:r>
        <w:t>FR: TAF C-1077/2012 du 6 mars 2013</w:t>
      </w:r>
    </w:p>
    <w:p>
      <w:r>
        <w:t>IT: TAF C-1077/2012 del 6 marzo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suisse résidant dans 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5ème révision de la LAI entrées en vigueur le 1er janvier 2008 sont également applicables s'agissant du droit à la rente jusqu'au 31 décembre 2011. Les dispositions citées ci-après, sauf précision contraire, sont celles en vigueur jusqu'au 31 décembre 2011 vu qu'elles sont à la base de l'ouverture éventuelle du droit à la rente.</w:t>
      </w:r>
    </w:p>
    <w:p>
      <w:r>
        <w:rPr>
          <w:b/>
        </w:rPr>
        <w:t>E. 4.1</w:t>
      </w:r>
    </w:p>
    <w:p>
      <w:r>
        <w:t>La décision dont est recours fait suite à une précédente demande de rente ayant été rejetée par décision du 28 juillet 2008 de l'OAI-VD, l'intéressé, charpentier, ayant été reconnu apte à exercer une activité à plein temps plus légère, adaptée à son état de santé, sans position à genoux et accroupissement, sans port de charges de 15-20kg et sans déplacement sur sol irrégulier avec une perte de gain de 17.30%.</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En l'espèce, l'OAI-VD a examiné du point de vue matériel la nouvelle demande de prestations. Le Tribunal peut donc se limiter à examiner si le recourant remplit les conditions d'octroi d'une rente jusqu'au 24 janvier 2012, date de la décision attaquée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gain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en tant qu'indépendant comme charpentier puis menuisier jusqu'en 2010. Il a cessé toute activité en octobre de cette année avec son installation en France .</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dans la décision du 28 juillet 2008 l'OAI-VD retint une incapacité de travail de 50% depuis mai 2005 qui passa à 25% dès 2006 vu que l'assuré avait pu reprendre une activité de charpentier-menuisier indépendant à 75%. Parallèlement il fut constaté une entière capacité de travail dans une activité adaptée plus légère, sans position à genoux et accroupissement, sans port de charge de 15-20kg et plus et sans déplacement sur sol irrégulier. Après près de deux ans d'activité l'intéressé déposa une nouvelle demande de prestations d'invalidité à la suite de l'abandon de son activité au 1er octobre 2010 en relation avec la vente de sa maison en Suisse et son déménagement en France. Il n'est pas nié que l'activité de charpentier devenue par la suite celle de menuisier en raison des atteintes à la santé devait inéluctablement cesser comme il en ressort du dossier médical. Toutefois il sied de relever que tant le Dr D._______, se référant à une consultation du 27 août 2009, que le Dr B._______, médecin traitant de l'assuré, en date du 25 février 2011, se sont exprimés clairement en faveur d'une pleine capacité de travail dans la mesure où l'activité exercée ne sollicitait pas les articulations.</w:t>
      </w:r>
    </w:p>
    <w:p>
      <w:r>
        <w:rPr>
          <w:b/>
        </w:rPr>
        <w:t>E. 9.2</w:t>
      </w:r>
    </w:p>
    <w:p>
      <w:r>
        <w:t>Dès lors, compte tenu du dossier existant et à défaut d'autres documents médicaux apportés par l'assuré, le Tribunal de céans ne peut que retenir le diagnostic du Dr E._______ du SMR du 4 mars 2011 faisant état de polyarthrose (rachis, hanche, genou) sur dysplasie fémoro-pattelaire billatérale, fondant une incapacité de travail totale dans sa profession dès le 1er octobre 2010 mais permettant une capacité de travail de 100%, comme énoncée sans réserve par le médecin traitant de l'assuré, dans une activité adaptée en position assise, sans marche, sans position accroupie, sans port de charges supérieures à 10kg, dès la même date. Cette appréciation fut également confirmée sur dossier par le Dr F._______ du SMR le 6 octobre 2011.</w:t>
      </w:r>
    </w:p>
    <w:p>
      <w:r>
        <w:rPr>
          <w:b/>
        </w:rPr>
        <w:t>E. 9.3</w:t>
      </w:r>
    </w:p>
    <w:p>
      <w:r>
        <w:t>Dans ses écritures le recourant conteste que le service médical de l'assurance-invalidité puisse se déterminer sur son état de santé sans l'avoir vu. Le grief n'est point pertinent car il appartient justement au service médical de l'AI de se prononcer de base sur dossier et d'instruire plus à fond notamment par le biais d'expertises médicales, en cas de dossiers médicaux contradictoires,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présente pas d'incohérence et le médecin traitant de l'assuré s'est exprimé clairement et sans réserve sur la possibilité d'une activité lucrative à plein temps adaptée, plus légère ne sollicitant pas les articulations. Sur la base d'une telle déclaration de la part même du médecin traitant de l'assuré, l'appréciation également retenue par le service médical de l'AI d'une pleine capacité de travail dans une activité adaptée n'a pas lieu d'être mise en doute d'autant plus qu'elle s'inscrit dans le cadre du dossier médical de l'assuré.</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11.1</w:t>
      </w:r>
    </w:p>
    <w:p>
      <w:r>
        <w:t>En l'espèce il y a ainsi lieu de procéder à une évaluation de l'invalidité selon la méthode générale. En effet, l'intéressé a cessé son activité indépendante en 2010 et ne l'a pas reprise depuis lors (cf. supra consid. 7.3). La comparaison de revenus doit s'effectuer sur la base de l'Enquête suisse sur la structure des salaires 2010 indexée 2011 car il doit être admis que c'est théoriquement à compter du 1er octobre 2011, une année après la cessation de son activité pour cause alléguée d'incapacité de travail complète dans celle-ci, que l'intéressé aurait présenté une incapacité de travail déterminante portant l'ouverture du droit à la rente. En effet, selon la jurisprudence, les salaires et revenus avant et après invalidité doivent être pris en compte / indexés jusqu'à la date de la survenance du droit théorique éventuel à la rente suite au délai d'attente d'une année (ATF 128 V 174 et 129 V 222).</w:t>
      </w:r>
    </w:p>
    <w:p>
      <w:r>
        <w:rPr>
          <w:b/>
        </w:rPr>
        <w:t>E. 11.2.1</w:t>
      </w:r>
    </w:p>
    <w:p>
      <w:r>
        <w:t>Pour déterminer le revenu avant invalidité provenant d'une activité indépendante, il faudrait en principe se fonder sur le résultat d'exploitation composé du produit de l'activité indépendante moins les charges (cf. Michel Valterio, op. cit. n° 2096, voir aussi l'arrêt du Tribunal administratif fédéral C-5626/2011 du 5 février 2013 consid. 7.3 avec les réf.). Si nécessaire, il est possible de se référer à une moyenne des revenus calculée sur quelques années; ce procédé doit servir à s'approcher le plus possible du revenu réel perçu par l'assuré avant l'invalidité (arrêt du Tribunal fédéral 8C_9/2009 du 10 novembre 2009 consid. 3.3). Toutefois, en l'espèce, un tel procédé n'est pas possible. D'une part, le résultat de l'activité de l'assuré a connu des fluctuations importantes au cours des dernières années, dont l'évolution peut en partie être due à son état de santé. D'autre part, pour calculer une moyenne concluante des revenus de l'activité du recourant, il faudrait se référer à une période trop longue comprenant des années très anciennes, en s'éloignant ainsi de l'objectif d'avoir une donnée la plus proche possible du revenu réel perçu avant l'invalidité. En tout cas, compte tenu de la jurisprudence mentionnée ci-dessus, il ne peut être retenu, comme l'a fait l'administration, la moyenne des revenus limitées aux années 1999 à 2001 (cf. pce index. 18/08/ 2008). Pour la comparaison de revenus avant invalidité, il est donc nécessaire de se référer aux donnés statistiques.</w:t>
      </w:r>
    </w:p>
    <w:p>
      <w:r>
        <w:rPr>
          <w:b/>
        </w:rPr>
        <w:t>E. 11.2.2</w:t>
      </w:r>
    </w:p>
    <w:p>
      <w:r>
        <w:t>Le revenu de comparaison avant invalidité doit être pris en compte selon les données statistiques de l'Enquête suisse sur la structure des salaires 2010 indexées 2011. Il peut ainsi être retenu un revenu dans le secteur des travaux de construction spécialisés (chiffre 43 de la Tabelle TA1) pour des hommes ayant des connaissances professionnelles spécialisées (niveau 3) de 5'559.- francs par mois pour 40 h./sem. et de 5'753.56 francs par mois pour 41.4 h./sem. selon l'horaire usuel de la branche ou 69'042.78 francs par année. Indexé valeur 2011 (+0.8%) ce montant s'élève 69'595.12 francs. En ce qui concerne le choix du niveau de qualification, il convient de se référer au niveau 3, en raison du fait que l'assuré a exercé son activité à titre indépendant, et non au niveau 4 qui est réservé aux activités simples et répétitives. Le choix du niveau 3 est à l'avantage du recourant mais, de toute façon, il est sans conséquence sur l'issue du litige.</w:t>
      </w:r>
    </w:p>
    <w:p>
      <w:r>
        <w:rPr>
          <w:b/>
        </w:rPr>
        <w:t>E. 11.3</w:t>
      </w:r>
    </w:p>
    <w:p>
      <w:r>
        <w:t>Le salaire après invalidité doit être fixé sur la base des données statistiques résultant de l'Enquête suisse sur les salaires 2010 (table TA1). En l'occurrence les activités de substitution possibles s'inscrivent dans la détermination du revenu médian toutes branches confondues dans le secteur privé pour des activités simples et répétitives (niveau 4) à 100%, soit 4'901.- francs pour 40 h./sem. et 5'097.04 francs pour 41.6 h./sem., sous déduction de 10% pour tenir compte de l'âge de l'assuré et de ses restrictions personnelles aux activités légères en position assise, soit 4'587.33.- francs par mois ou 55'047.96 francs par année. Dans le cadre de sa précédente décision de rejet de rente l'OAI-VD avait retenu un abattement également de 10%. Dans le cadre de cette évaluation il sied également de retenir un abattement de 10% car il peut être retenu une pleine capacité de travail en rien limitée une fois prise en compte la limitation à une activité en position assise. De nombreuses activités toutes branches confondues du secteur privé peuvent être exercées en position assise sans efforts physiques de sorte que ces activités sont adaptées au handicap du recourant. De plus, la majeure partie de ces postes ne nécessite pas de formation particulière autre qu'une mise au courant initiale. En rejetant les mesures d'ordre professionnel proposées par l'AI l'assuré ne s'est pas fermé les portes de telles activités, il s'est au plus limité à un choix d'entre elles plus étroit.</w:t>
      </w:r>
    </w:p>
    <w:p>
      <w:r>
        <w:rPr>
          <w:b/>
        </w:rPr>
        <w:t>E. 11.4</w:t>
      </w:r>
    </w:p>
    <w:p>
      <w:r>
        <w:t>En comparant le salaire avant invalidité de 69'595.12 francs avec celui après invalidité de 55'047.96 francs, on obtient une perte de gain de 20.90% arrondie à 21% ([69'595.12 - 55'047.96] : 69'595.12 x 100). Même en tenant compte d'une indexation valeurs 2012, année de la décision attaquée, les revenus à comparer ne permettent pas d'atteindre un taux d'invalidité égal ou supérieur à 40%. Il appert de ce qui précède que le recours doit être rejeté et la décision attaquée confirmée.</w:t>
      </w:r>
    </w:p>
    <w:p>
      <w:r>
        <w:rPr>
          <w:b/>
        </w:rPr>
        <w:t>E. 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13.1</w:t>
      </w:r>
    </w:p>
    <w:p>
      <w:r>
        <w:t>Vu l'issue de la cause, les frais de celle-ci, fixés à 400.- francs, sont mis à la charge du recourant (art. 63 al. 1 PA en relation avec l'art. 37 LTAF). Ils sont compensés avec l'avance de frais du même montant dont il s'est acquitté au cours de l'instruction.</w:t>
      </w:r>
    </w:p>
    <w:p>
      <w:r>
        <w:rPr>
          <w:b/>
        </w:rPr>
        <w:t>E. 13.2</w:t>
      </w:r>
    </w:p>
    <w:p>
      <w:r>
        <w:t>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