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C-1058/2023 vom 23. Januar 2023</w:t>
      </w:r>
    </w:p>
    <w:p>
      <w:r>
        <w:t>Bundesverwaltungsgericht, 2023-01-23, DE</w:t>
      </w:r>
    </w:p>
    <w:p>
      <w:r>
        <w:rPr>
          <w:b/>
        </w:rPr>
        <w:t xml:space="preserve">Quelle: </w:t>
      </w:r>
      <w:r>
        <w:t>https://mcp.opencaselaw.ch/entscheid/bvger_C-1058_2023_d20230123</w:t>
      </w:r>
    </w:p>
    <w:p>
      <w:r>
        <w:t>FR: TAF C-1058/2023 du 23 janvier 2023</w:t>
      </w:r>
    </w:p>
    <w:p>
      <w:r>
        <w:t>IT: TAF C-1058/2023 del 23 gennaio 2023</w:t>
      </w:r>
    </w:p>
    <w:p>
      <w:pPr>
        <w:pStyle w:val="Heading2"/>
      </w:pPr>
      <w:r>
        <w:t>Regeste</w:t>
      </w:r>
    </w:p>
    <w:p>
      <w:r>
        <w:t>Rentenrevision | Invalidenversicherung, Rentenrevision, Verfügung der IVSTA vom 23. Januar 2023</w:t>
      </w:r>
    </w:p>
    <w:p>
      <w:pPr>
        <w:pStyle w:val="Heading2"/>
      </w:pPr>
      <w:r>
        <w:t>Erwägungen</w:t>
      </w:r>
    </w:p>
    <w:p>
      <w:r>
        <w:rPr>
          <w:b/>
        </w:rPr>
        <w:t>E. 1</w:t>
      </w:r>
    </w:p>
    <w:p>
      <w:r>
        <w:t>Die Beschwerde wird insoweit gutgeheissen, als die Verfügung vom 23. Januar 2023 aufgehoben und die Sache zur weiteren Abklärung im Sinn der Erwägungen an die Vorinstanz zurückgewiesen wird.</w:t>
      </w:r>
    </w:p>
    <w:p>
      <w:r>
        <w:rPr>
          <w:b/>
        </w:rPr>
        <w:t>E. 2</w:t>
      </w:r>
    </w:p>
    <w:p>
      <w:r>
        <w:t>Mai 2023 ausführt, der psychiatrische Bericht von Dr. B._______ sei zwar ausreichend detailliert und nachvollziehbar, entspreche aber nicht den formalen Vorgaben für ein Gutachten, weshalb eine gutachterliche Un- tersuchung in der Schweiz zu empfehlen sei, wobei aufgrund der im Dos- sier erwähnten Hämochromatose ein bidisziplinäres Gutachten in den Fachrichtungen Psychiatrie und Allgemeine Innere Medizin erstellt werden sollte (BVGer-act. 6 Beilage), dass der Beweiswert eines zwecks Rentenrevision erstellten Gutachtens wesentlich davon abhängt, ob es sich ausreichend auf das Beweisthema – erhebliche Änderung des Sachverhalts – bezieht, und einer für sich allein betrachtet vollständig nachvollziehbaren und schlüssigen medizinischen Beurteilung, die im Hinblick auf eine erstmalige Beurteilung der Rentenbe- rechtigung beweisend wäre, es daher in der Regel am rechtlich erforderli- chen Beweiswert mangelt, wenn sich die (von einer früheren abweichende) ärztliche Einschätzung nicht hinreichend darüber ausspricht, inwiefern eine effektive Veränderung des Gesundheitszustandes stattgefunden hat (Urteil des BGer 9C_113/2019 vom 29. August 2019 E. 2.2 m.H.), dass zudem gemäss bundesgerichtlicher Rechtsprechung sämtliche psy- chischen Erkrankungen – auch Abhängigkeitssyndrome – grundsätzlich dem strukturierten Beweisverfahren anhand der Standardindikatoren nach BGE 141 V 281 zu unterziehen sind (BGE 143 V 409; 143 V 418; 145 V 215 E. 5.3.3 und 6), dass den Parteien darin zuzustimmen ist, dass der psychiatrische Bericht von Dr. B._______ den bundesgerichtlichen Anforderungen nicht genügt, dass demzufolge der medizinische Sachverhalt ungenügend abgeklärt worden ist,</w:t>
      </w:r>
    </w:p>
    <w:p>
      <w:r>
        <w:t>C-1058/2023 Seite 4 dass Art. 49 Bst. b VwVG die unvollständige Feststellung des rechtserheb- lichen Sachverhalts ausdrücklich als Beschwerdegrund nennt, dass eine Sache gemäss Art. 61 Abs. 1 VwVG ausnahmsweise mit ver- bindlichen Weisungen an die Vorinstanz zurückgewiesen werden kann, dass eine Rückweisung sich namentlich dann rechtfertigt, wenn eine rechtserhebliche, medizinische Frage im Verwaltungsverfahren vollständig ungeklärt geblieben ist (vgl. BGE 137 V 210 E. 4.4.1.4), dass die Sachverhaltsabklärung überdies in erster Linie auf der Stufe des Administrativverfahrens zu erfolgen hat (vgl. Art. 43 Abs. 1 ATSG; BGE 137 V 210 E. 4.2), dass vorliegend unter Berücksichtigung der im Raum stehenden psychiat- rischen und somatischen Diagnosen eine bidisziplinäre Begutachtung in den Fachdisziplinen Psychiatrie und Innere Medizin angezeigt ist, dass die Entscheidung, ob neben den genannten Fachdisziplinen auch noch weitere Spezialisten beigezogen werden, dem pflichtgemessen Er- messen der Gutachter zu überlassen ist, zumal es primär ihre Aufgabe ist, aufgrund der konkreten Fragestellung über die erforderlichen Untersu- chungen zu befinden (Urteil des BGer 8C_124/2008 vom 17. Oktober 2008 E. 6.3.1), dass mit der interdisziplinären Begutachtung sichergestellt werden kann, dass alle relevanten Gesundheitsschädigungen erfasst und die daraus je- weils abgeleiteten Einflüsse auf die Arbeitsfähigkeit würdigend in einem Gesamtergebnis ausgedrückt werden (vgl. SVR 2008 IV Nr. 15 S. 44, E. 2.1; Urteil des BVGer C-2713/2015 vom 13. Oktober 2016 E. 5.1), dass – um eine vollständige und umfassende Beurteilung des Gesund- heitszustands und der Arbeitsfähigkeit des Beschwerdeführers zu ermögli- chen – die Durchführung der interdisziplinären medizinischen Begutach- tung in der Schweiz unumgänglich ist, zumal die Abklärungsstelle mit den Grundsätzen der schweizerischen Versicherungsmedizin vertraut sein muss (Urteil des BGer 9C_235/2013 vom 10. September 2013 E. 3.2; Ur- teile des BVGer C-5862/2014 vom 5. April 2016 E. 5.2 und C-329/2014 vom 8. Juli 2015 E. 5.3.1 je mit Hinweis auf C-4677/2011 vom 18. Oktober 2013 E. 3.6.3), dass vorliegend keine Gründe, welche eine Begutachtung in der Schweiz als unverhältnismässig erscheinen liessen, ersichtlich sind,</w:t>
      </w:r>
    </w:p>
    <w:p>
      <w:r>
        <w:t>C-1058/2023 Seite 5 dass die Beschwerde insoweit gutzuheissen ist, als die angefochtene Ver- fügung vom 23. Januar 2023 aufzuheben und die Sache zur weiteren Ab- klärung im Sinn der Erwägungen an die Vorinstanz zurückzuweisen ist, dass eine Rückweisung praxisgemäss als Obsiegen der Beschwerde füh- renden Partei gilt (BGE 132 V 215 E. 6), dass bei diesem Ausgang des Verfahrens weder dem Beschwerdeführer noch der Vorinstanz Verfahrenskosten aufzuerlegen sind (Art. 63 Abs. 1 [e contrario] und Abs. 2 VwVG), dass dem Beschwerdeführer somit der von ihm geleistete Kostenvor- schuss in der Höhe von Fr. 800.– nach Eintritt der Rechtskraft des vorlie- genden Urteils auf ein von ihm zu benennendes Konto zurückzuerstatten ist, dass die Beschwerdeinstanz gemäss Art. 64 Abs. 1 VwVG der ganz oder teilweise obsiegenden Partei von Amtes wegen oder auf Begehren eine Entschädigung für ihr erwachsene notwendige und verhältnismässig hohe Kosten zusprechen kann, dass dem anwaltlich vertretenen Beschwerdeführer unter Berücksichti- gung des als notwendig zu erachtenden Aufwandes eine Parteientschädi- gung von Fr. 2’800.– zu Lasten der Vorinstanz zuzusprechen ist (vgl. Art. 14 Abs. 2 VGKE).</w:t>
      </w:r>
    </w:p>
    <w:p>
      <w:r>
        <w:t>C-1058/2023 Seite 6</w:t>
      </w:r>
    </w:p>
    <w:p>
      <w:r>
        <w:rPr>
          <w:b/>
        </w:rPr>
        <w:t>E. 3</w:t>
      </w:r>
    </w:p>
    <w:p>
      <w:r>
        <w:t>Dem Beschwerdeführer wird zu Lasten der Vorinstanz eine Parteientschädigung in der Höhe von Fr. 2'800.- zugesprochen.</w:t>
      </w:r>
    </w:p>
    <w:p>
      <w:r>
        <w:rPr>
          <w:b/>
        </w:rPr>
        <w:t>E. 4</w:t>
      </w:r>
    </w:p>
    <w:p>
      <w:r>
        <w:t>Dieses Urteil geht an den Beschwerdeführer, die Vorinstanz und das BSV.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