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C-1055/2006 vom 23. Februar 2007</w:t>
      </w:r>
    </w:p>
    <w:p>
      <w:r>
        <w:t>Bundesverwaltungsgericht, 2007-02-23, DE</w:t>
      </w:r>
    </w:p>
    <w:p>
      <w:r>
        <w:rPr>
          <w:b/>
        </w:rPr>
        <w:t xml:space="preserve">Quelle: </w:t>
      </w:r>
      <w:r>
        <w:t>https://mcp.opencaselaw.ch/entscheid/bvger_C-1055_2006</w:t>
      </w:r>
    </w:p>
    <w:p>
      <w:r>
        <w:t>FR: TAF C-1055/2006 du 23 février 2007</w:t>
      </w:r>
    </w:p>
    <w:p>
      <w:r>
        <w:t>IT: TAF C-1055/2006 del 23 febbraio 2007</w:t>
      </w:r>
    </w:p>
    <w:p>
      <w:pPr>
        <w:pStyle w:val="Heading2"/>
      </w:pPr>
      <w:r>
        <w:t>Regeste</w:t>
      </w:r>
    </w:p>
    <w:p>
      <w:r>
        <w:t>Reisedokumente für ausländische Personen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 gelten die in Art. 33 und 34 VGG genannten Behörden. Dazu gehören Verfügungen des Bundesamtes für Migration (BFM) betreffend Verweigerung der Ausstellung eines Reisepapiers für schriftenlose Ausländer (Art. 20 Abs. 1 des Bundesgesetzes vom 26. März 1931 über Aufenthalt und Niederlassung der Ausländer [ANAG, SR 142.20] i.V.m. Art. 31 und 33 Bst. d VGG).</w:t>
      </w:r>
    </w:p>
    <w:p>
      <w:r>
        <w:rPr>
          <w:b/>
        </w:rPr>
        <w:t>E. 2</w:t>
      </w:r>
    </w:p>
    <w:p>
      <w:r>
        <w:t>Das Bundesverwaltungsgericht übernimmt die bei Inkraftreten des Verwaltungsgerichtsgesetzes bei Eidgenössischen Rekurs- oder Schiedskommissionen oder bei Beschwerdediensten der Departemente hängigen Rechtsmittel. Für die Beurteilung gilt das neue Verfahrensrecht (vgl. Art. 53 Abs. 2 VGG).</w:t>
      </w:r>
    </w:p>
    <w:p>
      <w:r>
        <w:rPr>
          <w:b/>
        </w:rPr>
        <w:t>E. 3</w:t>
      </w:r>
    </w:p>
    <w:p>
      <w:r>
        <w:t>Dem Beschwerdeführer wurde die Verlängerung eines Reisedokuments verweigert. Er hat daher ein schutzwürdiges Interesse an der Aufhebung der angefochtenen Verfügung und ist deshalb gemäss Art. 20 Abs. 1 ANAG i.V.m. Art. 48 VwVG zur Beschwerdeführung legitimiert. Auf die frist- und formgerechte Beschwerde ist somit einzutreten (Art. 49 - 52 VwVG).</w:t>
      </w:r>
    </w:p>
    <w:p>
      <w:r>
        <w:rPr>
          <w:b/>
        </w:rPr>
        <w:t>E. 4</w:t>
      </w:r>
    </w:p>
    <w:p>
      <w:r>
        <w:t>Die angefochtene Verfügung erging in Anwendung der Verordnung vom 11. August 1998 über die Abgabe von Reisepapieren an ausländische Personen (RPAV von 1998, AS 1999 2368). Am 1. Dezember 2004 trat die Verordnung vom 27. Oktober 2004 über die Ausstellung von Reisedokumenten für ausländische Personen (RDV, SR 143.5) in Kraft, welche die frühere Verordnung ersetzt. Gemäss Art. 25 RDV gilt das neue Recht für alle im Zeitpunkt des Inkrafttretens hängigen Verfahren, weshalb auf die vorliegende Beschwerde das neue Recht Anwendung findet. Da die neue Verordnung jedoch die Verlängerung von Ersatzpapieren nicht mehr vorsieht, ist zu prüfen, ob die Voraussetzungen zur Neuausstellung von Pässen für eine ausländische Person erfüllt sind.</w:t>
      </w:r>
    </w:p>
    <w:p>
      <w:r>
        <w:rPr>
          <w:b/>
        </w:rPr>
        <w:t>E. 5.1</w:t>
      </w:r>
    </w:p>
    <w:p>
      <w:r>
        <w:t>Anspruch auf einen Pass für eine ausländische Person hat nach Art. 4 Abs. 1 Bst. a RDV eine nach dem Übereinkommen vom 28. September 1954 über die Rechtsstellung der Staatenlosen (SR 0.142.40) als staatenlos anerkannte ausländische Person. Ein solcher Pass kann auch schriftenlosen ausländischen Personen mit Jahresaufenthaltsbewilligung abgegeben werden (vgl. Art. 4 Abs. 2 RDV). 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7 Abs. 1 Bst. a RDV), oder für welche die Beschaffung von Reisedokumenten unmöglich ist (Art. 7 Abs. 1 Bst. b RDV).</w:t>
      </w:r>
    </w:p>
    <w:p>
      <w:r>
        <w:rPr>
          <w:b/>
        </w:rPr>
        <w:t>E. 5.2</w:t>
      </w:r>
    </w:p>
    <w:p>
      <w:r>
        <w:t>Der Beschwerdeführer hat zwar auf die Staatsangehörigkeit von Bangladesch verzichtet. Da ihn jedoch das BFM, die für die Anerkennung der Staatenlosigkeit zuständige schweizerische Behörde, bisher nicht als staatenlose Person anerkannte, kann er sich nicht auf das obgenannte Übereinkommen berufen. Mangels Feststellung der Staatenlosigkeit nach Konventionsrecht besteht somit kein Anspruch auf einen Pass für eine ausländische Person gemäss Art. 4 Abs. 1 Bst. a RDV.</w:t>
      </w:r>
    </w:p>
    <w:p>
      <w:r>
        <w:rPr>
          <w:b/>
        </w:rPr>
        <w:t>E. 6</w:t>
      </w:r>
    </w:p>
    <w:p>
      <w:r>
        <w:t>Es bleibt zu prüfen, ob die Vorinstanz beim Beschwerdeführer, der auch nach seiner Heirat mit einer Schweizerin über eine Jahresaufenthaltsbewilligung verfügt, zu Recht dessen Schriftenlosigkeit verneint hat, indem sie die Möglichkeit und Zumutbarkeit zur Beschaffung eines heimatlichen Reisepasses als gegeben erachtete. Obschon die neue Verordnung auf den Begriff der Zumutbarkeit verzichtet, ist jedoch materiell mit der neuen Formulierung keine Änderung verbunden (vgl. Urteil des Bundesgerichts 2A.12/2005 bzw. 2A.13/2005 vom 25. April 2005 E. 3.1).</w:t>
      </w:r>
    </w:p>
    <w:p>
      <w:r>
        <w:rPr>
          <w:b/>
        </w:rPr>
        <w:t>E. 6.1</w:t>
      </w:r>
    </w:p>
    <w:p>
      <w:r>
        <w:t>Die Frage, ob die Beschaffung von Reisedokumenten bei den Heimatbehörden von der betreffenden Person verlangt werden kann, ist nicht nach subjektiven, sondern nach objektiven Massstäben zu beurteilen (vgl. Urteile des Bundesgerichts 2A.335/2006 vom 18. Oktober 2006 E. 2.1, 2A.12/2005 und 2A.13/2005 vom 25. April 2005 E. 3.2, 2A.176/2004 vom 30. August 2004 E. 2.1, 2A.186/2000 vom 28. Juli 2000 E. 2d). Der Beschwerdeführer bringt in seinem Verlängerungsgesuch vom 30. August 2004 vor, keine heimatlichen Reisepapiere beantragen zu können, weil er staatenlos sei. Zur Beurteilung der Schriftenlosigkeit ist indessen massgebend, ob es dem Beschwerdeführer zumutbar ist, sich um die Wiedererlangung seiner bisherigen Staatsbürgerschaft zu bemühen, wodurch er wieder Anspruch auf einen heimatlichen Pass erhalten würde (vgl. Urteile des Bundesgerichts 2A.658/2006 vom 10. Januar 2007 E. 2.4, 2A.147/2002 vom 27. Juni 2002 E. 4.2).</w:t>
      </w:r>
    </w:p>
    <w:p>
      <w:r>
        <w:rPr>
          <w:b/>
        </w:rPr>
        <w:t>E. 6.2</w:t>
      </w:r>
    </w:p>
    <w:p>
      <w:r>
        <w:t>Der Beschwerdeführer hat auf eigenes Begehren um die Entlassung aus der bangladeschischen Staatsbürgerschaft ersucht. In der Note vom 4. Januar 1999 des Aussenministeriums von Bangladesch an die Schweizer Botschaft in Dhaka wird dazu ausgeführt, der Beschwerdeführer habe auf seine Staatsbürgerschaft verzichtet, um den Erhalt der schweizerischen Staatsangehörigkeit zu erleichtern. Der Verzicht auf seine bisherige Staatsangehörigkeit diente somit den Interessen des Beschwerdeführers, ohne dass auf Seiten der heimatlichen Behörden Gründe vorlagen, welche zum Verlust des Bürgerrechts geführt hätten. Der Beschwerdeführer selbst macht denn auch nicht geltend, er könne seine bisherige Staatsbürgerschaft nicht mehr wieder erlangen. Soweit aus den Unterlagen ersichtlich, hat er diesbezüglich bisher keine Schritte eingeleitet. Anhaltspunkte, dass die Adoption in der Schweiz dem Wiedererwerb der Staatsangehörigkeit entgegensteht, bestehen zurzeit nicht. Insbesondere weil er zuvor die Staatsbürgerschaft von Bangladesch besass und seine leiblichen Eltern und seine Geschwister bangladeschischer Herkunft sowie dort wohnhaft sind, erscheint der Wiedererwerb nicht ausgeschlossen.</w:t>
      </w:r>
    </w:p>
    <w:p>
      <w:r>
        <w:rPr>
          <w:b/>
        </w:rPr>
        <w:t>E. 6.3</w:t>
      </w:r>
    </w:p>
    <w:p>
      <w:r>
        <w:t>Objektive Gründe, weshalb vom Beschwerdeführer nicht verlangt werden kann bzw. es für ihn unmöglich sein sollte, sich um die Wiedereinbürgerung zu bemühen und damit heimatliche Reisepapiere zu erlangen, sind daher nicht ersichtlich. Folglich ging die Vorinstanz zu Recht davon aus, der Beschwerdeführer sei nicht schriftenlos. Die Voraussetzungen zur Erteilung eines Passes für ein ausländische Person gemäss Art. 4 Abs. 2 RDV sind somit nicht erfüllt.</w:t>
      </w:r>
    </w:p>
    <w:p>
      <w:r>
        <w:rPr>
          <w:b/>
        </w:rPr>
        <w:t>E. 7.1</w:t>
      </w:r>
    </w:p>
    <w:p>
      <w:r>
        <w:t>An diesem Ergebnis vermag der Umstand, dass dem Beschwerdeführer ein Pass für eine ausländische Person mit dem Hinweis ausgestellt wurde, er solle sich um den Erhalt eines schweizerischen Passes bemühen, nichts zu ändern. Es lässt sich daraus weder ein Anspruch auf Neuausstellung eines Ersatzpapiers ableiten noch verstösst die verweigerte Verlängerung gegen Treu und Glauben. Bei jedem Gesuch hat das BFM von Grund auf neu die Schriftenlosigkeit festzustellen (Art. 7 Abs. 3 RDV). Aus einer mehrjährigen Ausstellung eines schweizerischen Reisepapiers erwächst deshalb kein gewohnheitsrechtlicher Anspruch darauf, dass dieses weiterhin und ohne Weiteres, insbesondere aber ohne Prüfung der in der RDV erwähnten Voraussetzungen, ausgestellt wird.</w:t>
      </w:r>
    </w:p>
    <w:p>
      <w:r>
        <w:rPr>
          <w:b/>
        </w:rPr>
        <w:t>E. 7.2</w:t>
      </w:r>
    </w:p>
    <w:p>
      <w:r>
        <w:t>Der Hinweis, der Beschwerdeführer solle sich während der Gültigkeitsdauer des Ausweises um den Erhalt eines schweizerischen Passes bemühen bzw. um die erleichterte Einbürgerung, stellt entgegen den Ausführungen des Beschwerdeführers keine Auflage dar, deren Erfüllung einen Anspruch auf Ausstellung eines Passes für ausländische Personen begründen würde. Nebenbestimmungen wie Bedingungen und Auflagen sind zwar ohne ausdrückliche Regelung in einem Rechtssatz zulässig, soweit sie in einem engen sachlichen Zusammenhang mit dem Zweck der Hauptregelung stehen (vgl. hierzu Ulrich Häfelin/Georg Müller/Felix Uhlmann, Allgemeines Verwaltungsrecht, 5. Aufl., Zürich 2006, S. 191 f.). Sie gestalten jedoch nur die Modalitäten der in einer Verfügung geregelten Rechte und Pflichten aus. So wird im Falle einer Bedingung die Rechtswirksamkeit der Verfügung von einem künftigen ungewissen Ereignis abhängig gemacht. Die Auflage wiederum belasten den Verfügungsadressaten mit zusätzlichen Pflichten, die selbständig erzwingbar sind (vgl. Pierre Tschannen/Ulrich Zimmerli/Regina Kiener, Allgemeines Verwaltungsrecht, Bern 2000, S. 176 f.). Vom Beschwerdeführer hätte indessen nicht erzwungen werden können, sich um einen schweizerischen Pass zu bemühen, weshalb der Hinweis keine Auflage darstellt. Massgebend für die Erteilung eines Passes für eine ausländische Person an den Beschwerdeführer sind folglich einzig die Voraussetzungen, wie sie sich aus der Verordnung ergeben. Ebenso konnte der Beschwerdeführer nicht nach Treu und Glauben davon ausgegehen, dass die Bemühung um einen schweizerischen Pass die Ausstellung eines Ersatzpapiers zur Folge hätte. Das BFM teilte ihm schliesslich im gleichen Schreiben mit, der Ausweis werde nicht verlängert. Eine Verlängerung nach entsprechenden Einbürgerungsbemühungen konnte er somit nicht erwarten.</w:t>
      </w:r>
    </w:p>
    <w:p>
      <w:r>
        <w:rPr>
          <w:b/>
        </w:rPr>
        <w:t>E. 8.1</w:t>
      </w:r>
    </w:p>
    <w:p>
      <w:r>
        <w:t>Schliesslich macht der Beschwerdeführer geltend, die Verweigerung des Passes für eine ausländische Person beeinträchtige sein Familienleben und verunmögliche es ihm, seinen Arzt in Deutschland zu konsultieren. Der Schutzbereich des Familienlebens umfasst das Zusammenleben der Familienangehörigen sowie die normale Entwicklung der familiären Beziehungen (vgl. Martina Caroni, Privat- und Familienleben zwischen Menschenrecht und Migration, Berlin 1999, S. 36; Jörg Paul Müller, Grundrechte in der Schweiz: im Rahmen der Bundesverfassung von 1999, der UNO-Pakte und der EMRK, 3. Aufl., Bern 1999, S. 113). Inwiefern das Zusammenleben des erwachsenen Beschwerdeführers mit seinen schweizerischen Eltern durch die Verweigerung des Passes für eine ausländische Person beeinträchtigt wird, ist nicht ersichtlich. In diesem Zusammenhang macht der Beschwerdeführer denn auch keine konkrete Beeinträchtigungen geltend. Ebenfalls bestehen keine Anhaltspunkte dafür, dass mangels Auslandreisen das faktische Zusammenleben und die normale Entwicklung der Beziehung mit seiner Ehefrau beeinträchtigt werden. Schliesslich bringt der Beschwerdeführer keine Gründe vor, weshalb er auf eine medizinische Behandlung im Ausland angewiesen sei. Wie es sich damit jedoch im Einzelnen verhält, kann indessen offen bleiben. Denn wie unter Ziffer 6 ausgeführt, bestehen keine objektiven Gründe, weshalb der Beschwerdeführer sich nicht bei der bangladeschischen Vertretung in der Schweiz um die Wiedereinbürgerung und damit um heimatliche Reisepapiere bemühen könnte.</w:t>
      </w:r>
    </w:p>
    <w:p>
      <w:r>
        <w:rPr>
          <w:b/>
        </w:rPr>
        <w:t>E. 8.2</w:t>
      </w:r>
    </w:p>
    <w:p>
      <w:r>
        <w:t>Es steht dem Beschwerdeführer jedoch offen, in einem neuen Gesuch bei der Vorinstanz die Abgabe eines Passes für eine ausländische Person zu beantragen, sollten entsprechende Bemühungen des Beschwerdeführers, die hinreichend, das heisst insbesondere schriftlich zu belegen wären, dennoch nicht zu Wiedereinbürgerung und zur Ausstellung eines heimatlichen Reisepapiers führen.</w:t>
      </w:r>
    </w:p>
    <w:p>
      <w:r>
        <w:rPr>
          <w:b/>
        </w:rPr>
        <w:t>E. 9</w:t>
      </w:r>
    </w:p>
    <w:p>
      <w:r>
        <w:t>Die Feststellung der Vorinstanz, der Beschwerdeführer erfüllte die Voraussetzungen der Schriftenlosigkeit nicht, ist somit nicht zu beanstanden. Die angefochtene Verfügung verletzt daher das Bundesrecht nicht. Der rechtserhebliche Sachverhalt wurde richtig und vollständig festgestellt (Art. 49 VwVG).</w:t>
      </w:r>
    </w:p>
    <w:p>
      <w:r>
        <w:rPr>
          <w:b/>
        </w:rPr>
        <w:t>E. 10</w:t>
      </w:r>
    </w:p>
    <w:p>
      <w:r>
        <w:t>Die Beschwerde ist daher abzuweisen und die Verfahrenskosten sind dem Beschwerdeführer aufzuerlegen (Art. 63 Abs. 1 VwVG i.V.m. Art. 1 des Reglements vom 11. Dezember 2006 über die Kosten und Entschädigungen vor dem Bundesverwaltungsgericht [VGKE, SR 173.320.2]). ******* (Dispositiv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