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C-1052/2011 vom 20. August 2012</w:t>
      </w:r>
    </w:p>
    <w:p>
      <w:r>
        <w:t>Bundesverwaltungsgericht, 2012-08-20, FR</w:t>
      </w:r>
    </w:p>
    <w:p>
      <w:r>
        <w:rPr>
          <w:b/>
        </w:rPr>
        <w:t xml:space="preserve">Quelle: </w:t>
      </w:r>
      <w:r>
        <w:t>https://mcp.opencaselaw.ch/entscheid/bvger_C-1052_2011</w:t>
      </w:r>
    </w:p>
    <w:p>
      <w:r>
        <w:t>FR: TAF C-1052/2011 du 20 août 2012</w:t>
      </w:r>
    </w:p>
    <w:p>
      <w:r>
        <w:t>IT: TAF C-1052/2011 del 20 agosto 2012</w:t>
      </w:r>
    </w:p>
    <w:p>
      <w:pPr>
        <w:pStyle w:val="Heading2"/>
      </w:pPr>
      <w:r>
        <w:t>Regeste</w:t>
      </w:r>
    </w:p>
    <w:p>
      <w:r>
        <w:t>Rentes</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Ainsi, le droit à une rente de l'assurance-invalidité doit être examiné au regard de l'ancien droit pour la période jusqu'au 31 décembre 2007 et, après le 1er janvier 2008, en fonction des modifications introduites par la 5e révision de la LAI (RO 2007 5147), étant précisé que l'application du nouveau droit ne modifie pas la notion d'invalidité, ni la manière d'évaluer le taux d'invalidité. (cf. arrêt du Tribunal fédéral 9C_942/2009 du 15 mars 2010 consid. 3.1). Ne sont en revanche pas applicables les dispositions de la 6e révision (premier volet) en vigueur dès le 1er janvier 2012 (RO 2011 5659, FF 2010 1647). Les atteintes à la santé ayant eu lieu in casu en 2005 et en 2007, les dispositions de la LAI, de son règlement d'exécution et de la LPGA, seront donc citées, sauf mention contraire, dans leur teneur en vigueur jusqu'au 31 décembre 2007.</w:t>
      </w:r>
    </w:p>
    <w:p>
      <w:r>
        <w:rPr>
          <w:b/>
        </w:rPr>
        <w:t>E. 4.1</w:t>
      </w:r>
    </w:p>
    <w:p>
      <w:r>
        <w:t>L'objet du litige dans la procédure de recours est le rapport juridique qui dans le cadre de l'objet de la contestation déterminé par la décision attaquée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réf. cit.; pour la procédure d'opposition: ATF 119 V 347; voir également arrêt U 152/01 du 8 octobre 2003 du Tribunal fédéral, consid. 3; Ulrich Meyer-Blaser, Streitgegenstand im Streit - Erläuterungen zu BGE 125 V 413, in Schaffhauser/Schlauri [édit.], Aktuelle Rechtsfragen der Sozialversicherungspraxis, St-Gall 2001, p. 19).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122 V 242 consid. 2a, ATF 117 V 294 consid. 2a, ATF 112 V 97 consid. 1a; ATF 110 V 48 consid. 3c et réf. cit.; cf. également ATF 122 V 34 consid. 2a).</w:t>
      </w:r>
    </w:p>
    <w:p>
      <w:r>
        <w:rPr>
          <w:b/>
        </w:rPr>
        <w:t>E. 4.2.1</w:t>
      </w:r>
    </w:p>
    <w:p>
      <w:r>
        <w:t>In casu, le recourant a présenté sa demande de rente le 28 juillet 2004.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devrait donc en principe examiner si le recourant avait droit à une rente le 28 juillet 2003 ou si le droit à une rente était né entre cette date et le 10 décembre 2010, date de la décision attaquée marquant la limite dans le temps du pouvoir d'examen de l'autorité de recours (ATF 129 V 1 consid. 2.1 et ATF 121 V 362 consid. 1b).</w:t>
      </w:r>
    </w:p>
    <w:p>
      <w:r>
        <w:rPr>
          <w:b/>
        </w:rPr>
        <w:t>E. 4.2.2</w:t>
      </w:r>
    </w:p>
    <w:p>
      <w:r>
        <w:t>L'autorité inférieure a prononcé trois décisions en date du 10 décembre 2010. Deux d'entre elles concernent l'octroi d'une rente pour des périodes limitées: la première, du 1er mai 2005 au 31 octobre 2005 et la deuxième du 1er février 2007 au 31 octobre 2007. Dans ses conclusions, le recourant requiert le versement d'une rente au-delà du 1er novembre 2007.</w:t>
      </w:r>
    </w:p>
    <w:p>
      <w:r>
        <w:rPr>
          <w:b/>
        </w:rPr>
        <w:t>E. 4.2.3</w:t>
      </w:r>
    </w:p>
    <w:p>
      <w:r>
        <w:t>En allouant rétroactivement une rente d'invalidité temporaire, l'autorité inférieure a réglé le rapport juridique sous l'angle de l'objet de la contestation et de l'objet du litige. Selon la jurisprudence, lorsque seule la réduction ou la suppression des prestations est contestée - comme en l'espèce le pouvoir d'examen du juge n'est pas limité au point qu'il doive s'abstenir de se prononcer en ce qui concerne des périodes à propos desquelles l'octroi de prestations n'est pas remis en cause (ATF 125 V 413 consid. 2.2 et 2.3 confirmé dans 131 V 164). Toutefois la Cour de céans ne voit pas de raison de s'écarter des conclusions du recourant et examinera uniquement la question de savoir si c'est à juste titre que l'autorité inférieure a reconnu en 2007 un droit aux prestations limité au 31 octobre 2007.</w:t>
      </w:r>
    </w:p>
    <w:p>
      <w:r>
        <w:rPr>
          <w:b/>
        </w:rPr>
        <w:t>E. 5</w:t>
      </w:r>
    </w:p>
    <w:p>
      <w:r>
        <w:t>Selon les normes en vigueur jusqu'au 31 décembre 2007,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teneur en vigueur depuis le 1er janvier 2008).</w:t>
      </w:r>
    </w:p>
    <w:p>
      <w:r>
        <w:rPr>
          <w:b/>
        </w:rPr>
        <w:t>E. 6.5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6.6</w:t>
      </w:r>
    </w:p>
    <w:p>
      <w:r>
        <w:t>En cas de décision simultanée sur l'octroi d'une rente et son remplacement par une autre rente ou même sa suppression, le changement est régi par l'art. 88a du règlement du 17 janvier 1961 sur l'assurance-invalidité (RAI, RS 831.301) lequel prévoit à l'alinéa 1 que, si la capacité de gain ou la capacité d'accomplir les travaux habituels ou l'impotence ou le besoin de soin découlant de l'invalidité d'un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7.2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Dans la présente cause, le Tribunal fédéral dans son arrêt du 10 août 2009 avait renvoyé l'affaire à l'autorité inférieure pour complément d'instruction jugeant que les rapports figurant au dossier étaient trop succincts, ne se prononçaient pas sur l'existence d'une éventuelle capacité résiduelle de travail du recourant dans une activité de substitution et n'indiquaient pas la nature exacte des activités éventuellement exigibles, eu égard aux problèmes de santé du recourant. La Haute Cour a estimé qu'un expert devait se déterminer sur l'état de santé et indiquer dans quelle mesure et pour quelles activités le recourant était capable de travailler. Dans cette perspective, la Dresse G._______ a mandaté une expertise orthopédique ainsi qu'un rapport médical.</w:t>
      </w:r>
    </w:p>
    <w:p>
      <w:r>
        <w:rPr>
          <w:b/>
        </w:rPr>
        <w:t>E. 8.2</w:t>
      </w:r>
    </w:p>
    <w:p>
      <w:r>
        <w:t>Le rapport E 213 établi le 23 mars 2010 par la Dresse C._______ se prononce en faveur de la reprise d'une activité de substitution à plein temps, respectant les limitations fonctionnelles du recourant. Ce docteur se fonde notamment sur le rapport radiologique du 30 janvier 2009 du Dr E._______ (pce 72) pour exclure la reprise de l'ancienne activité. Cette expertise E 213 est trop sommaire pour répondre aux exigences de la jurisprudence précitée sur les rapports médicaux. Le Dr F._______ recommande, en conclusion de son rapport, de réaliser des clichés radiographiques et par résonnance magnétique du rachis lombaire et des hanches ainsi qu'un électromyogramme des membres inférieures. Or, il ne ressort pas du dossier que ces examens complémentaires aient été effectués, à l'exception du rapport radiologique du Dr E._______ du 30 janvier 2009. Toutefois cet examen est non seulement bien antérieur à l'évaluation du Dr F._______ mais il est aussi trop succinct pour lui reconnaître une valeur probante déterminante. Quant au rapport orthopédique établi le 11 mars 2010 (pce 73) par le Dr F._______, chirurgien orthopédique et traumatologue, force est de constater qu'il ne respecte pas les règles jurisprudentielles en la matière. Les plaintes du patient ne sont pas mentionnées, au titre d'anamnèse il n'est fait que très sommairement état des antécédents personnels et l'appréciation médicale se résume à un tableau récapitulatif. Déjà pour cette seule raison, compte tenu des indications claires du Tribunal fédéral dans son arrêt de renvoi, la Cour de céans devrait annuler la décision attaquée et exiger une instruction médicale effectuée de lege artis. De surcroît, l'évaluation de la Dresse G._______ de l'OAIE se fonde sur des éléments qui ne sont pas contenus dans le rapport du Dr F._______. La Dresse G._______ retient dans sa prise de position du 29 septembre 2010 une limitation de la flexion lombaire dans les derniers degrés, une manoeuvre de Lasègue négative, une absence de déficit neurologique, une limitation de la mobilité globale des hanches dans les derniers degrés seulement et une marche normale et indépendante. Or, le Dr F._______ mentionne en réalité dans son tableau une distension pelvienne douloureuse tant à gauche qu'à droite au niveau des articulations coxo-fémorales, une flexion et une rotation internet/externe limitée des deux côtés, un signe de Lasègue ainsi qu'un test de Bragard positifs à droite et négatif à gauche au niveau du rachis. La palpation de l'échine révèle un rachis lombaire douloureux, avec des contractions musculaires et la présence de points douloureux. La mobilité lombaire en rotation, en latéralisation et en flexo-extension est limitée et présente une irradiation douloureuse. Ce médecin observe également une dysmétrie des membres inférieures. En d'autres termes, la Dresse G._______ ne se prononce pas sur toutes les limitations indiquées par le Dr F._______. Elle exclut une atteinte neurologique alors que l'orthopédiste signale un signe de Lasègue et de Bragard positif d'un côté. De surcroît, la présence d'une sténose foraminale droite en L5-S1 apparaissant sur les clichés de 2009, laisse soupçonner une atteinte radiculaire.</w:t>
      </w:r>
    </w:p>
    <w:p>
      <w:r>
        <w:rPr>
          <w:b/>
        </w:rPr>
        <w:t>E. 8.3</w:t>
      </w:r>
    </w:p>
    <w:p>
      <w:r>
        <w:t>Il est vrai que la Dresse C._______ dans l'expertise E 213 se montre en faveur de l'exercice d'une activité de substitution à plein temps respectant les limitations fonctionnelles et que plusieurs contrats figurant au dossier révèlent que le recourant était apte à travailler à plein temps durant certaines périodes (5 mois en 2008 et 2 mois en 2010). Toutefois, il subsiste un doute sur la nature de ces emplois (à caractère social ?) et leur courte durée ne permet de déduire avec certitude que le recourant présente un capacité de travail permanente à plein temps puisque celle-ci n'est pas suffisamment attestée médicalement. Ainsi, force est de constater que l'activité lucrative exercée du 3 août au 31 décembre 2006 était antérieure à la rechute de 2007 qui a abouti à l'opération à la hanche du 26 février 2007. Le travail exercé entre le 18 juin et le 18 novembre 2008 est certes relativement long mais il a été accompli dans le cadre d'une activité d'intérêt social. L'activité reprise en 2010 du 2 août au 27 septembre est trop brève pour lui reconnaître un rôle déterminant dans la résolution du présent litige. En conclusion, si une capacité résiduelle de travail subsiste peut-être après le 31 octobre 2007, le Tribunal administratif fédéral doit néanmoins constater qu'il ne possède pas les éléments clairs pour se faire une opinion circonstanciée de la mesure de cette capacité.</w:t>
      </w:r>
    </w:p>
    <w:p>
      <w:r>
        <w:rPr>
          <w:b/>
        </w:rPr>
        <w:t>E. 9</w:t>
      </w:r>
    </w:p>
    <w:p>
      <w:r>
        <w:t>Ainsi, le Tribunal de céans, en vertu de l'art. 61 PA, dont l'application se justifie au vu des lacunes manifestes de l'instruction lors du prononcé de la décision attaquée (ATF 137 V 210 consid. 4.4.1.4), doit admettre partiellement le recours, annuler la décision entreprise et renvoyer le dossier à l'OAIE afin qu'il établisse par tous les moyens utiles, notamment en diligentant une expertise orthopédique, les informations nécessaires à une évaluation de la capacité de travail du recourant dans des activités de substitution raisonnablement exigibles, fixe le taux d'invalidité sur la base d'une comparaison actualisée des revenus et prononce, après avoir accordé au recourant le droit d'être entendu, une nouvelle décision. Compte tenu de l'objet du présent litige, l'autorité inférieure se prononcera en particulier sur la capacité de travail résiduelle du recourant dans une activité adaptée à partir du 1er novembre 2007, les prestations antérieures n'étant pas contestées (cf. consid. 4.2.3).</w:t>
      </w:r>
    </w:p>
    <w:p>
      <w:r>
        <w:rPr>
          <w:b/>
        </w:rPr>
        <w:t>E. 10.1</w:t>
      </w:r>
    </w:p>
    <w:p>
      <w:r>
        <w:t>Compte tenu de l'issu du litige, il n'est pas perçu de frais de procédure (art. 63 al. 1 et 2 PA). En conséquence, l'avance de frais de 400 francs déjà versée par le recourant lui sera restituée sur le compte bancaire qu'il aura désigné, une fois le présent arrêt entré en force.</w:t>
      </w:r>
    </w:p>
    <w:p>
      <w:r>
        <w:rPr>
          <w:b/>
        </w:rPr>
        <w:t>E. 10.2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 En l'espèce, le travail accompli par le représentant espagnol du recourant en instance de recours a consisté principalement dans la rédaction d'un recours de 5 pages et demie écrit, accompagné de 8 pièces, d'une réplique de 4 pages et demie accompagnée de 3 copies et d'une détermination de 4 pages et demie reprenant pour l'essentiel la teneur de l'acte de recours. Il se justifie, eu égard à ce qui précède, de lui allouer ex aequo et bono une indemnité à titre de dépens de 1'000 francs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