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C-1049/2011 vom 3. April 2012</w:t>
      </w:r>
    </w:p>
    <w:p>
      <w:r>
        <w:t>Bundesverwaltungsgericht, 2012-04-03, FR</w:t>
      </w:r>
    </w:p>
    <w:p>
      <w:r>
        <w:rPr>
          <w:b/>
        </w:rPr>
        <w:t xml:space="preserve">Quelle: </w:t>
      </w:r>
      <w:r>
        <w:t>https://mcp.opencaselaw.ch/entscheid/bvger_C-1049_2011</w:t>
      </w:r>
    </w:p>
    <w:p>
      <w:r>
        <w:t>FR: TAF C-1049/2011 du 3 avril 2012</w:t>
      </w:r>
    </w:p>
    <w:p>
      <w:r>
        <w:t>IT: TAF C-1049/2011 del 3 aprile 2012</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L'objet du litige selon la décision attaquée du 11 janvier 2011 est le bien-fondé, suite à la révision du droit à la rente, de la suppression avec effet au 1er mars 2011 de la rente entière d'invalidité perçue par l'intéressé depuis le 1er avril 1999, par décision initiale du 2 août 2000 de l'OAI-FR, au motif d'une amélioration significative de son état de santé. Le droit applicable est celui de la 5ème révision de l'assurance-invalidité entrée en vigueur le 1er janvier 2008. Les dispositions de la 6ème révision (premier volet) en vigueur depuis le 1er janvier 2012 (RO 2011 5659, FF 2010 1647) ne sont pas applicables.</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les ressortissants suisses et de l'Union européenne qui présentent un degré d'invalidité de 40% au moins, ont droit à un quart de rente en application de l'art. 28 al. 2 LAI à partir du 1er juin 2002 s'ils ont leur domicile et leur résidence habituelle dans un Etat membre de l'UE (ATF 130 V 253 consid. 2.3).</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5.2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5.3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5.4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5.5</w:t>
      </w:r>
    </w:p>
    <w:p>
      <w:r>
        <w:t>Le Tribunal fédéral a par ailleurs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 ATF 125 V 369 consid. 2 et ATF 112 V 372 consid. 2). En l'espèce, la reconduction de la rente entière par communication du 25 juin 2004 de l'OAI-FR, au motif d'un status inchangé faisant référence à celui de l'octroi de la rente initiale en 2000, est la base de comparaison avec la décision de suppression du 11 janvier 2011 de l'OAIE.</w:t>
      </w:r>
    </w:p>
    <w:p>
      <w:r>
        <w:rPr>
          <w:b/>
        </w:rPr>
        <w:t>E. 6.1</w:t>
      </w:r>
    </w:p>
    <w:p>
      <w:r>
        <w:t>La notion d'invalidité, dont il est question à l'art. 8 LPGA et à l'art. 4 LAI est de nature économique / 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w:t>
      </w:r>
    </w:p>
    <w:p>
      <w:r>
        <w:rPr>
          <w:b/>
        </w:rPr>
        <w:t>E. 6.2</w:t>
      </w:r>
    </w:p>
    <w:p>
      <w:r>
        <w:t>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353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7.3</w:t>
      </w:r>
    </w:p>
    <w:p>
      <w:r>
        <w:t>Le Tribunal fédéral s'est à réitérées reprises prononcé sur certains types d'atteintes à la santé peu objectivées à l'étiologie incertaine telles le trouble somatoforme douloureux (ATF 130 V 352 et 131 V 50), le syndrome de fatigue chronique ou de neurasthénie (arrêt du Tribunal fédéral I 70/07 du 14 avril 2008), l'anesthésie dissociative et les atteintes sensorielles (arrêt du Tribunal fédéral I 9/07 du 9 février 2007 consid. 4), les troubles moteurs dissociatifs (arrêt du Tribunal fédéral 9C_903/2007 du 30 avril 2008 consid. 3.4). Pour que ces maladies soient considérées comme invalidantes, il est nécessaire que les douleurs ressenties par l'assuré soient en corrélation avec une comorbidité psychiatrique importante. Elle sera reconnue telle par sa gravité, son acuité et sa durée liée à un processus maladif s'étendant sur plusieurs années sans rémission durable, en raison d'affections corporelles chroniques, d'une perte d'intégration sociale dans toutes les manifestations de la vie et l'échec de traitements ambulatoires ou stationnaires conformes aux règles de l'art en dépit de l'attitude coopérative de la personne assurée. A défaut de ces caractéristiques l'atteinte à la santé d'origine étiologique non déterminée n'est pas considérée comme propre à entraîner une incapacité de travail de longue durée pouvant conduire à une invalidité (ATF 130 V 352 consid. 2.2.3). Au contraire il est présumé que ces syndromes ou leurs effets peuvent être surmontés par un effort de volonté raisonnablement exigible (ATF 131 V 49 consid. 1.2, arrêt du Tribunal fédéral 9C_573/2010 du 8 août 2011 consid. 6.3).</w:t>
      </w:r>
    </w:p>
    <w:p>
      <w:r>
        <w:rPr>
          <w:b/>
        </w:rPr>
        <w:t>E. 8.1</w:t>
      </w:r>
    </w:p>
    <w:p>
      <w:r>
        <w:t>En l'espèce, l'intéressé a subi un accident du travail en 1998 dont la gravité fut relative mais qui eut d'importantes répercussions sur le plan psychique avec une forte somatisation des atteintes physiques ayant par ailleurs nécessité une hospitalisation en urgence pour un état dépressif sévère avec idées suicidaires faisant suite à un status post-traumatique. Un traitement antidépresseur ne fut suivi que d'une discrète amélioration de la symptomatologie. Le Dr D._______, médecin traitant de l'assuré indiqua dans un rapport du 10 mai 1999, soit plus d'une année après l'accident, notamment, une clinique dominée par un état dépressif majeur, un risque de raptus suicidaire nécessitant une médication anti-dépressive au long cours et un suivi psychiatrique et releva sur le plan physique l'impossibilité pour l'assuré de se pencher en avant. Le 23 janvier 2000 le Dr D._______ fit état d'un status stationnaire qu'il compléta par l'indication d'une hernie discale L5-S1, d'un syndrome irritatif gauche, d'un trouble somatoforme douloureux, d'une symptomatologie douloureuse du rachis lombaire avec irradiation importante dans le membre inférieur gauche. En date du 24 février 2000 les Drs E._______ et F._______ du Centre psycho-social de W._______ mirent l'accent sur le caractère subjectif de la symptomatologie caractéristique des traumatisés crâniens. Cette clinique fonda le droit à une rente entière par décision du 2 août 2000. En novembre 2000 et en mars 2002 la rente entière fut reconduite sur la base de rapports médicaux établissant un status inchangé. En 2004 un status inchangé fut également à la base de la reconduction de la rente, les Drs I._______, psychiatre, et D._______, faisant état d'un état stationnaire, d'une médication régulière pour les atteintes psychiatriques, notant plus de pensées suicidaires mais un status dépressif et d'importantes douleurs sans espoir d'en sortir et de recouvrer une capacité de travail.</w:t>
      </w:r>
    </w:p>
    <w:p>
      <w:r>
        <w:rPr>
          <w:b/>
        </w:rPr>
        <w:t>E. 8.2</w:t>
      </w:r>
    </w:p>
    <w:p>
      <w:r>
        <w:t>Il appert du dossier une importante documentation médicale établie en 2008 et 2009. Sur le plan somatique il peut y être relevé des atteintes à la santé compatibles avec l'âge sans véritables atteintes invalidantes. Le rapport du Dr L._______, orthopédie et traumatologie, du 7 juillet 2009, fait état d'atteintes au rachis documentées, préconise un traitement conservateur et indique d'éviter les activités physiques avec station orthostatique prolongée et les transports de charges et marches prolongées. En soi ce rapport médical ne limite aucunement l'intéressé dans une activité légère de type industriel principalement assise à l'établi. Sur le plan psychiatrique le rapport du Dr K._______, psychiatre, du 10 juin 2009, fait notamment état de dépression, ralentissement, insomnie, asthénie, anédonie, adynamie et indique des troubles spatio-temporels et des facultés cognitives supérieures. Selon son avis l'intéressé présenterait une incapacité de travail de 55% selon la Tabelle nationale des incapacités. Le rapport E 213 daté du 9 juillet 2009 fait état pour l'essentiel d'un bon status général et mental, d'altérations dégénératives modérées du rachis, d'intense somatisation, d'une évolution imprévisible des atteintes à la santé, cas échéant de probables périodes d'absentéisme dans le travail pour cause d'instabilité d'humeur et retient une incapacité de travail inférieure à 66.66%. A lecture même du rapport l'incapacité de travail retenue n'est toutefois pas démontrée. Une expertise psychiatrique et orthopédique intervint fin janvier 2010. Sur le plan orthopédique, bien que des douleurs aient été relevées à la palpation lors de l'examen clinique, il ne fut pas retenu de limitations importantes de la mobilité ni de déficit moteur ou sensitif. Le rapport ne releva des examens radiologiques qu'une discrète discopathie en L5-S1 et de très discrets troubles dégénératifs du rachis cervical compatibles avec l'âge. Sur le plan psychiatrique force est de constater que l'expertise permet de conclure à une amélioration notoire de l'état de santé sans signe floride de la lignée dépressive en faveur du diagnostic d'une dépression majeure avec un ancrage dans la réalité sans diminution des intérêts et du plaisir et sans retrait social de sorte que l'expert a pu conclure que la somatisation des atteintes à la santé n'était pas liée à une comorbidité psychiatrique incapacitante cristallisée. L'expertise en soi est convaincante et ne présente pas de contradictions ou de zones d'ombre dans son texte-même. Il sied d'ailleurs de relever que l'intéressé s'est remis en couple en septembre 2008 et que cette nouvelle relation a eu un effet positif sur son status psychique comme cela ressort de l'expertise, élément toutefois nullement relevé par le Dr K._______ qui suit pourtant régulièrement l'intéressé. A l'encontre de l'amélioration de santé retenue sur la base de ce qui précède par les Dr M._______ et P._______ de l'OAIE, l'intéressé fit principalement valoir un status psychique fortement aggravé sans volonté de se lever le matin et produisit un nouveau rapport médical du Dr K._______ superposable au précédent mais concluant à une incapacité de travail totale et définitive. De l'appréciation du Dr P._______ ce rapport correspond à une réaction à la suppression pressentie de la rente, soit à une dépression réactionnelle. Le rapport subséquent du Dr K._______ du 4 février 2011 établi moins d'un mois après la décision de suppression de rente du 11 janvier 2011 fait également état d'un status réactionnel. Le Dr K._______ ne fait en particulier pas état d'autres atteintes psychiques que celle énoncées dans ses précédents rapports et qui ont été prises en compte dans le cadre de l'expertise de fin janvier 2010. Il ne fait également pas mention d'hospitalisation pour cause psychique. Dans son recours l'intéressé formula diverses critiques contre l'expertise auxquelles il y a lieu de répondre. S'agissant des douleurs à la palpation relevées mais plus retenues au final, force est de constater qu'elle ne trouvent que peu de substrat organique de sorte que faute d'être documentées dans l'intensité alléguée elles ne peuvent être retenues par principe d'égalité entre les assurés, lesquels ont la charge de documenter leurs allégués (cf. ATF 130 V 353 consid. 2.2.2. in fine; arrêt du Tribunal fédéral I 600/03 du 30 novembre 2004 consid. 3.2). S'agissant du suivi psychiatrique de longue durée attestant selon le recourant d'un status cristallisé, il y a lieu de relever qu'un suivi de longue durée n'est pas nécessairement la démonstration d'un status cristallisé mais peut aussi être l'expression d'un suivi thérapeutique conservatoire lequel a toute sa raison d'être dans les constellations de fragilité psychique sans que celles-ci soient forcément invalidantes au sens de la LAI. Enfin s'agissant de la qualification par l'assuré de sa vie sociale de type végétatif, on relèvera que l'exagération du propos enlève du crédit au reste des allégués du recours. En effet, manifester de l'intérêt pour des émissions documentaires et sportives, promener régulièrement les chiens de sa compagne, fréquenter les établissements thermaux, rendre régulièrement visite à des proches sont des activités non qualifiables de végétatives comme pourraient l'être celles de personnes contraintes à rester alitées. Il s'ensuit de ce qui précède qu'il paraît établi de retenir selon l'expertise de janvier 2010 que l'intéressé présentait dans la période de la décision attaquée une capacité de travail entière dans une activité légère adaptée. Il est en effet justifié d'accorder plus de crédit à l'expertise de fin janvier 2010 qu'aux rapports médicaux présentés par l'intéressé pour la même période qui mentionnent certes un état de santé non à même d'exercer une activité lucrative à plein temps mais qui n'établissent pas preuve à l'appui le fondement des plaintes alléguées en tout cas par un suivi médical important. Bien au contraire les rapports médicaux produits relèvent plus de la description d'un status dans l'abstrait sur le moment que de rapports d'atteintes à la santé en traitements importants sur le long cours. Les pièces au dossier ne fondent par ailleurs pas la nécessité d'une expertise médicale car les rapports médicaux produits n'ont pas matériellement la même force probante que l'expertise et il n'y a donc pas lieu de ce fait de recourir à une seconde expertise. S'agissant de son ancienne activité comme ouvrier de minoterie, il convient de relever qu'elle n'est plus exigible à 100% et qu'il faudrait admettre une diminution de rendement. En effet, cette activité impliquait le soulèvement de charges élevées qui à la date de la décision attaquée n'est plus possible. L'avis du service médical de l'OAIE, qui retient une capacité de travail entière dans son activité précédente, ne saurait être suivi sur ce point. Toutefois, même si on devait admettre que l'intéressé présentait une incapacité de travail d'au moins 40% dans son activité dans la minoterie, il est encore en mesure d'exercer une activité de substitution à 100%.</w:t>
      </w:r>
    </w:p>
    <w:p>
      <w:r>
        <w:rPr>
          <w:b/>
        </w:rPr>
        <w:t>E. 8.3</w:t>
      </w:r>
    </w:p>
    <w:p>
      <w:r>
        <w:t>En cours de procédure, notamment à compter de la réplique du 26 août 2011, l'intéressé a produit de nouveaux certificats médicaux faisant valoir une aggravation de son état de santé. Ces documents médicaux établis bien après la décision attaquée ne peuvent être pris en compte par le Tribunal de céans dans le cadre de l'examen du recours. Il appartiendra à l'intéressé, cas échéant, vu l'issue du présent recours, de déposer une demande de prestations d'invalidité.</w:t>
      </w:r>
    </w:p>
    <w:p>
      <w:r>
        <w:rPr>
          <w:b/>
        </w:rPr>
        <w:t>E. 9.1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9.2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10.1</w:t>
      </w:r>
    </w:p>
    <w:p>
      <w:r>
        <w:t>En l'espèce il y a lieu de procéder à une évaluation de l'invalidité selon la méthode générale par une comparaison de revenus sur la base de son dernier revenu en Suisse indexé 2011 (ou 2010 si indice non connu) et de données statistiques 2010 (indexées 2011 si % de variation connu). En effet, selon la jurisprudence, les salaires avant et après invalidité doivent être pris en compte / indexés jusqu'à la date de la survenance du droit théorique éventuel à la rente (ATF 128 V 174 et 129 V 222). L'OAIE n'a pas effectué de comparaison de revenu du fait qu'il a retenu que l'intéressé était en mesure de reprendre son ancienne activité d'ouvrier de minoterie. Or tel n'est effectivement pas le cas vu que l'intéressé est limité à des ports de charges de 10kg au plus. A titre exceptionnel, vu que le dossier permet de l'effectuer, le Tribunal de céans fera cette comparaison.</w:t>
      </w:r>
    </w:p>
    <w:p>
      <w:r>
        <w:rPr>
          <w:b/>
        </w:rPr>
        <w:t>E. 10.2</w:t>
      </w:r>
    </w:p>
    <w:p>
      <w:r>
        <w:t>Il y a lieu de retenir comme base de comparaison sans invalidité le revenu que l'intéressé a obtenu avant son accident en 1998, soit 4'320.- francs par mois ou 56'160.- par année y compris le 13e mois (Indice 1993: 102.3). Indexé valeur 2011 (Indice connu 2010: 120.1) ce montant s'élève à 65'931.73 francs.</w:t>
      </w:r>
    </w:p>
    <w:p>
      <w:r>
        <w:rPr>
          <w:b/>
        </w:rPr>
        <w:t>E. 10.3</w:t>
      </w:r>
    </w:p>
    <w:p>
      <w:r>
        <w:t>Le salaire après invalidité doit être fixé sur la base des données statistiques résultant de l'Enquête suisse sur les salaires 2010 (table TA1). En l'occurrence les activités de substitution possibles selon l'expertise, avec la restriction à juste titre aux activités légères, s'inscrivent dans la détermination du revenu médian toutes branches confondues dans le secteur privé de la production pour des activités simples et répétitives (niveau 4) à 100%, soit 4'901.- francs pour 40 h./sem. et 5'097.04 francs pour 41.6 h./sem. selon le temps de travail usuel de ce secteur, soit 61'164.48 francs. De nombreuses activités d'entre elles peuvent être exercées sans efforts moyennement importants, de sorte que ces activités sont adaptées aux possibilités du recourant. De plus, la majeure partie de ces postes ne nécessite pas de formation particulière autre qu'une mise au courant initiale.</w:t>
      </w:r>
    </w:p>
    <w:p>
      <w:r>
        <w:rPr>
          <w:b/>
        </w:rPr>
        <w:t>E. 10.4</w:t>
      </w:r>
    </w:p>
    <w:p>
      <w:r>
        <w:t>En comparant le salaire mensuel avant invalidité de 65'931.73.- francs avec celui après invalidité de 61'164.48.-, on obtient une perte de gain de 7.23% arrondie à 7% ([65'931.73 - 61'164.48] : 65'931.73 x 100). Même en tenant compte d'un abattement sur le revenu avec invalidité de 10% voire 15% pour tenir compte des activités limitées à celles dites légères ou de l'âge de l'assuré voire encore de quelque absentéisme, les revenus à comparer ne permettent pas d'atteindre un taux d'invalidité égal ou supérieur à 40%. Il appert de ce qui précède que le recours doit être rejeté et la décision attaquée confirmée.</w:t>
      </w:r>
    </w:p>
    <w:p>
      <w:r>
        <w:rPr>
          <w:b/>
        </w:rPr>
        <w:t>E. 11</w:t>
      </w:r>
    </w:p>
    <w:p>
      <w:r>
        <w:t>Dans le cadre de cette révision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12</w:t>
      </w:r>
    </w:p>
    <w:p>
      <w:r>
        <w:t>Le recourant ayant été mis au bénéfice de l'assistance judiciaire complète il n'est pas perçu de frais de procédure (art. 65 al. 1 PA) et il lui est alloué une indemnité de frais de représentation de 2'500.- francs à charge de la caisse du Tribunal de céans (art. 65 al. 3.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