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C-1048/2006 vom 21. Juli 2010</w:t>
      </w:r>
    </w:p>
    <w:p>
      <w:r>
        <w:t>Bundesverwaltungsgericht, 2010-07-21, DE</w:t>
      </w:r>
    </w:p>
    <w:p>
      <w:r>
        <w:rPr>
          <w:b/>
        </w:rPr>
        <w:t xml:space="preserve">Quelle: </w:t>
      </w:r>
      <w:r>
        <w:t>https://mcp.opencaselaw.ch/entscheid/bvger_C-1048_2006</w:t>
      </w:r>
    </w:p>
    <w:p>
      <w:r>
        <w:t>FR: TAF C-1048/2006 du 21 juillet 2010</w:t>
      </w:r>
    </w:p>
    <w:p>
      <w:r>
        <w:t>IT: TAF C-1048/2006 del 21 luglio 2010</w:t>
      </w:r>
    </w:p>
    <w:p>
      <w:pPr>
        <w:pStyle w:val="Heading2"/>
      </w:pPr>
      <w:r>
        <w:t>Regeste</w:t>
      </w:r>
    </w:p>
    <w:p>
      <w:r>
        <w:t>Anerkennung der Staatenlosigkeit</w:t>
      </w:r>
    </w:p>
    <w:p>
      <w:pPr>
        <w:pStyle w:val="Heading2"/>
      </w:pPr>
      <w:r>
        <w:t>Erwägungen</w:t>
      </w:r>
    </w:p>
    <w:p>
      <w:r>
        <w:rPr>
          <w:b/>
        </w:rPr>
        <w:t>E. 1.1</w:t>
      </w:r>
    </w:p>
    <w:p>
      <w:r>
        <w:t>Gemäss Art. 31 des Verwaltungsgerichtsgesetzes vom 17. Juni 2005 (VGG, SR 173.32) beurteilt das Bundesverwaltungsgericht - unter Vorbehalt der in Art. 32 VGG genannten Ausnahmen - Beschwerden gegen Verfügungen nach Art. 5 des Bundesgesetzes vom 20. Dezember 1968 über das Verwaltungsverfahren (VwVG, SR 172.021), welche von einer in Art. 33 VGG aufgeführten Behörde erlassen wurden. Darunter fallen u.a. Verfügungen des BFM betreffend Anerkennung der Staatenlosigkeit (vgl. Art. 14 Abs. 3 der Organisationsverordnung für das Eidgenössische Justiz- und Polizeidepartement vom 17. November 1999 [OV-EJPD, SR 172.213.1]).</w:t>
      </w:r>
    </w:p>
    <w:p>
      <w:r>
        <w:rPr>
          <w:b/>
        </w:rPr>
        <w:t>E. 1.2</w:t>
      </w:r>
    </w:p>
    <w:p>
      <w:r>
        <w:t>Das Bundesverwaltungsgericht übernimmt die Beurteilung der beim Inkrafttreten des Verwaltungsgerichtsgesetzes am 1. Januar 2007 bei Eidgenössischen Rekurs- oder Schiedskommissionen oder bei Beschwerdediensten der Departemente hängigen Rechtsmittel. Für die Beurteilung gilt das neue Verfahrensrecht (Art. 53 Abs. 2 VGG).</w:t>
      </w:r>
    </w:p>
    <w:p>
      <w:r>
        <w:rPr>
          <w:b/>
        </w:rPr>
        <w:t>E. 1.3</w:t>
      </w:r>
    </w:p>
    <w:p>
      <w:r>
        <w:t>Gemäss Art. 37 VGG richtet sich das Verfahren vor dem Bundesverwaltungsgericht nach dem VwVG, soweit das Gesetz nichts anderes bestimmt.</w:t>
      </w:r>
    </w:p>
    <w:p>
      <w:r>
        <w:rPr>
          <w:b/>
        </w:rPr>
        <w:t>E. 1.4</w:t>
      </w:r>
    </w:p>
    <w:p>
      <w:r>
        <w:t>Die Beschwerdeführerin ist gemäss Art. 48 Abs. 1 VwVG zur Beschwerde legitimiert. Auf die frist- und formgerecht eingereichte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publizierten Urteils 2A.451/2002 vom 28. März 2003).</w:t>
      </w:r>
    </w:p>
    <w:p>
      <w:r>
        <w:rPr>
          <w:b/>
        </w:rPr>
        <w:t>E. 3.1</w:t>
      </w:r>
    </w:p>
    <w:p>
      <w:r>
        <w:t>Gemäss Art. 1 Ziff. 1 des Staatenlosen-Übereinkommens ist eine Person staatenlos im Sinne dieses Übereinkommens, die kein Staat aufgrund seiner Gesetzgebung als seine Staatsangehörige betrachtet. Staatenlosigkeit bedeutet nach dieser Begriffsumschreibung das Fehlen der rechtlichen Zugehörigkeit zu einem Staate (YVONNE BURCKHARDT-ERNE, Die Rechtsstellung der Staatenlosen im Völkerrecht und Schweizerischen Landesrecht, Diss. Bern 1977, S. 1 mit Hinweisen auf die Doktrin). Von dieser rechtlichen ist die in Art. 24 Abs. 1 in fine des vom Bundesrat auf den 1. Januar 1989 in Kraft gesetzten Bundesgesetzes vom 18. Dezember 1987 über das Internationale Privatrecht (IPRG, SR 291) umschriebene faktische Staatenlosigkeit (Botschaft zum IPR-Gesetz vom 10. November 1982, BBl 1983 I 324) zu unterscheiden. Dabei handelt es sich um Personen, die zwar formell noch eine Staatsangehörigkeit besitzen, deren Heimatstaat sie aber faktisch nicht mehr anerkennt und sich weigert, ihnen Schutz zu gewähren (BURCKHARDT-ERNE, a.a.O., S. 2). Desgleichen liegt eine tatsächliche Staatenlosigkeit vor bei Schriftenlosigkeit oder bei Abbruch der Beziehungen mit dem früheren Heimatstaat ohne formelle Ausbürgerung (BGE 98 Ib 83; vgl. auch BURCKHARDT-ERNE, a.a.O., S. 2). Massgebend ist im vorliegenden Fall jedoch einzig die rechtliche Staatenlosigkeit. Denn mit dem von der Bundesversammlung am 27. April 1972 genehmigten und am 1. Oktober 1972 in Kraft getretenen Staatenlosen-Übereinkommen wurde eine rechtliche Besserstellung nur den "de iure" Staatenlosen gewährt (siehe Botschaft betreffend die Genehmigung des Übereinkommens über die Rechtsstellung der Staatenlosen, BBl 1971 II 424 ff.; BURCKHARDT-ERNE, a.a.O., S. 154, sowie Urteil des Bundesgerichts 2A.65/1996 vom 3. Oktober 1996 [auszugsweise publiziert in VPB 61.74 E. 3a und 3b, 2C_763/2008 vom 26. März 2009 E. 2 und 3.2; Urteil des Bundesverwaltungsgerichts C-5327/2007 vom 4. August 2009 E. 3.1 mit weiteren Hinweisen).</w:t>
      </w:r>
    </w:p>
    <w:p>
      <w:r>
        <w:rPr>
          <w:b/>
        </w:rPr>
        <w:t>E. 3.2</w:t>
      </w:r>
    </w:p>
    <w:p>
      <w:r>
        <w:t>Gemäss gefestigter Rechtsprechung fallen Personen, die ihre Staatsbürgerschaft freiwillig aufgegeben haben (Verlust der Staatsangehörigkeit auf Antrag) oder sich ohne triftige Gründe weigern, diese wieder zu erwerben, obwohl sie die Möglichkeit dazu hätten, nicht unter das Staatenlosen-Übereinkommen (vgl. Urteil des Bundesgerichts 2C_763/2008 vom 26. März 2009 E. 3.2 mit diversen Hinweisen). Andernfalls würde der Rechtsstatus der Staatenlosigkeit den ihr im Übereinkommen zugedachten Auffang- und Schutzcharakter verlieren und würde zu einer Sache der persönlichen Präferenz. Damit würden die Staatenlosen gegenüber den Flüchtlingen, deren Status sich nicht nach dem Willen der Betroffenen richtet, sondern nach den tatsächlichen Verhältnissen in deren Heimatland beurteilt wird, besser gestellt. Dies hingegen kann nicht Sinn und Zweck des fraglichen Überkommens sein, zumal die Völkergemeinschaft seit langem versucht, die Zahl der Staatenlosen in der Welt zu reduzieren. Das Staatenlosen-Übereinkommen wurde nicht geschaffen, damit Einzelne sich nach Belieben eine privilegierte Rechtsstellung erwirken können. Es dient in erster Linie der Hilfe gegenüber Menschen, die ohne ihr Zutun in eine Notlage geraten sind (Urteile des Bundesgerichts 2C_1/2008 vom 28. Februar 2008 E. 3.2 mit Hinweisen).</w:t>
      </w:r>
    </w:p>
    <w:p>
      <w:r>
        <w:rPr>
          <w:b/>
        </w:rPr>
        <w:t>E. 4.1</w:t>
      </w:r>
    </w:p>
    <w:p>
      <w:r>
        <w:t>Die Beschwerdeführerin bezeichnet sich als staatenlos und macht in diesem Zusammenhang geltend, sie sei als "Tibetan Refugee" in Nepal geboren und nie in China und den von diesem Staat besetzten tibetischen Gebieten gewesen. Wie ihre Eltern besitze sie keine chinesischen Ausweise und Dokumente und sei in China nicht registriert. Sie spreche kein Chinesisch und habe keine Beziehung zur chinesischen Kultur und Gesellschaft und insbesondere auch nicht zu chinesischen Behörden und Organen. Da die gewaltsame Annektierung und weiter bestehende Besetzung Tibets durch China gegen das Völkerrecht und die Menschenrechte verstosse, könnten ihre Vorfahren und damit auch sie nie chinesische Staatsangehörige geworden sein, zumal ihnen die tibetische Staatsangehörigkeit nicht entzogen worden sei. Zudem sei sie von den nepalesischen Behörden seit ihrer Geburt als Tibeterin und Flüchtling ("refugee") und nicht als Chinesin anerkannt worden.</w:t>
      </w:r>
    </w:p>
    <w:p>
      <w:r>
        <w:rPr>
          <w:b/>
        </w:rPr>
        <w:t>E. 4.2</w:t>
      </w:r>
    </w:p>
    <w:p>
      <w:r>
        <w:t>Aus dem Umstand, dass die nepalesischen Behörden sie offenbar weder als nepalesische noch als chinesische Staatsangehörige, sondern als "Tibet-Flüchtling" betrachtet hatten, vermag die Beschwerdeführerin nichts zu ihren Gunsten abzuleiten. Wie die Vorinstanz in ihrer Vernehmlassung zu Recht festgehalten hat, liegt in casu schon deshalb keine formelle Anerkennung der Staatenlosigkeit im Sinne von Art. 1 Ziff. 1 des Staatenlosen-Übereinkommens vor, weil Nepal weder das fragliche Übereinkommen noch die Flüchtlingskonvention unterzeichnet hat. Entgegen der Auffassung der Beschwerdeführerin führt auch das Fehlen jeglicher chinesischer Ausweise und Dokumente bzw. die Nichtregistrierung in China nicht zwangsläufig zum Verlust der ursprünglichen Staatsangehörigkeit respektive zur Staatenlosigkeit (vgl. Urteil des Bundesverwaltungsgerichts C-1042/2006 vom 9. September 2008 E. 3.1 mit Hinweisen).</w:t>
      </w:r>
    </w:p>
    <w:p>
      <w:r>
        <w:rPr>
          <w:b/>
        </w:rPr>
        <w:t>E. 4.3</w:t>
      </w:r>
    </w:p>
    <w:p>
      <w:r>
        <w:t>Die Möglichkeit, allenfalls die nepalesische Staatsangehörigkeit zu erlangen, dürfte für die Beschwerdeführerin mit dem Ende November 2006 in Kraft getretenen neuen Bürgerrechtsgesetz ("Nepal Citizenship Act", 2006) dahingefallen sein. Demnach können Personen, welche sich - wie die Beschwerdeführerin - als "Tibet-Flüchtling" in Nepal aufgehalten haben, die erforderlichen Dokumente zur Erlangung der nepalesischen Staatsbürgerschaft nicht beschaffen, weil sie als Flüchtlinge weder Land besitzen noch pachten können. Ausserdem könnte nach dieser Gesetzgebung ein Begehren um Einbürgerung ohnehin nur in Nepal selbst gestellt werden.</w:t>
      </w:r>
    </w:p>
    <w:p>
      <w:r>
        <w:rPr>
          <w:b/>
        </w:rPr>
        <w:t>E. 5</w:t>
      </w:r>
    </w:p>
    <w:p>
      <w:r>
        <w:t>Gemäss der Aktenlage ist die Beschwerdeführerin tibetischer Ethnie. Die Zugehörigkeit Tibets zur Volksrepublik China ist allerdings umstritten. Da der Staat Tibet seit der Annektierung durch die Volksrepublik China heute nicht mehr existiert, stellt sich die Frage nach der Staatsangehörigkeit der Einwohner bzw. deren Nachfahren des ehemaligen Tibets. Während die tibetische Regierung im Exil konsequent die Auffassung vertritt, Tibet sei seit dem Einmarsch Chinas in den Jahren 1949/50 in den damals unabhängigen Staat illegal besetzt, besteht die Volksrepublik China darauf, dass ihre Beziehungen zu Tibet rein innenpolitischer Natur seien, da Tibet seit Jahrhunderten integraler Bestandteil Chinas gewesen und bis heute geblieben sei. Die Schweiz anerkennt den chinesischen Alleinvertretungsanspruch über Tibet und sie teilt auch die Auffassung der meisten Staaten der internationalen Gemeinschaft, wonach Tibet als autonome Region im Rang einer Provinz ein integraler Bestandteil der Volksrepublik China ist (vgl. Bericht der Aussenpolitischen Kommissionen des Nationalrates vom 4. April 2004 und des Ständerates vom 7. September 2004 zur Petition Schweizer Tibet-Organisationen, zitiert in EMARK 2006 Nr. 1 E. 4.4). Wie das BFM zu Recht festgestellt hat, handelt es sich demnach bei den Bewohnern des Gebiets von Tibet respektive deren Nachfahren, unter Vorbehalt des Staatsangehörigkeitsgesetzes der Volksrepublik China vom 10. September 1980 ("Nationality Law of the People's Republic of China", zu finden im Internet unter: www.china.org.cn/english/LivinginChina/184710.htm), um chinesische Staatsbürger. Zur Frage der Staatsangehörigkeit von im Exil lebenden Tibetern hat die ARK in EMARK 2005 Nr. 1 festgehalten, dass auch bei diesen Gesuchstellern tibetischer Ethnie vorab auf eine chinesische Staatsangehörigkeit zu schliessen sei.</w:t>
      </w:r>
    </w:p>
    <w:p>
      <w:r>
        <w:rPr>
          <w:b/>
        </w:rPr>
        <w:t>E. 6.1</w:t>
      </w:r>
    </w:p>
    <w:p>
      <w:r>
        <w:t>Gemäss Art. 1 des Staatenlosen-Übereinkommens ist, wie erwähnt, eine Person dann staatenlos, wenn kein Staat sie - aufgrund seiner Gesetzgebung - als seinen Angehörigen betrachtet. Ausschlaggebend sind deshalb allein die gesetzlichen Bestimmungen des jeweiligen Staates, welche festlegen, unter welchen Voraussetzungen jemand Staatsangehöriger dieses Staates ist. Das BFM verweist in diesem Zusammenhang auf Art. 5 des Staatsangehörigkeitsgesetzes der Volksrepublik China vom 10. September 1980, wonach eine im Ausland geborene Person die chinesische Staatsangehörigkeit besitzt, sofern mindestens ein Elternteil chinesischer Staatsbürger ist. Dies trifft hingegen nicht zu für ein Kind, bei welchem mindestens ein Elternteil im Ausland sesshaft ist und welches mit der Geburt eine ausländische Staatsangehörigkeit erworben hat, da das chinesische Recht doppelte Staatsangehörigkeit verbietet (vgl. Art. 3 des fraglichen Staatsangehörigkeitsgesetzes; BERGMANN/FERID, Internationales Ehe- und Kindschaftsrecht, Volksrepublik China, 1999).</w:t>
      </w:r>
    </w:p>
    <w:p>
      <w:r>
        <w:rPr>
          <w:b/>
        </w:rPr>
        <w:t>E. 6.2</w:t>
      </w:r>
    </w:p>
    <w:p>
      <w:r>
        <w:t>Aufgrund der Akten ergeben sich keinerlei Hinweise für die Annahme, wonach die Beschwerdeführerin bei Geburt oder in der Zwischenzeit eine andere (namentlich die nepalesische) Staatsangehörigkeit erlangt hätte. Demzufolge ist sie nicht unbekannter Staatsangehörigkeit, sondern - aufgrund ihrer Abstammung - als Staatsangehörige der Volksrepublik China zu betrachten. Die Vorinstanz hat die Beschwerdeführerin daher zu Recht nicht als staatenlos im Sinne von Art. 1 des fraglichen Übereinkommens bezeichnet. Nicht ersichtlich ist, inwiefern dadurch - wie von der Beschwerdeführerin behauptet - völker- oder landesrechtliche Bestimmungen verletzt worden wären. Ungeachtet dessen steht ihr als Ehegattin eines Schweizer Bürgers in Kürze die Möglichkeit offen, bei den zuständigen Behörden in der Schweiz ein Gesuch um erleichterte Einbürgerung zu stellen (vgl. Art. 27 des Bundesgesetzes über Erwerb und Verlust des Schweizer Bürgerrechts [BüG, SR 141.0]. Soweit die Beschwerdeführerin befürchtet, als Tibeterin mit der "Nationalität China" unter Umständen anlässlich eines nächsten Besuches bei ihrer Familie in Nepal nach China abgeschoben bzw. ausgeschafft zu werden, verkennt sie, dass schweizerische Ersatzreisepapiere, namentlich der "Pass für eine ausländische Person" gemäss Art. 3 der Verordnung vom 20. Januar 2010 über die Ausstellung von Reisedokumenten für ausländische Personen (RDV, SR 143.5), ohnehin nicht vor Auslieferung schützen und dem Inhaber oder der Inhaberin auch keinen Anspruch auf diplomatischen oder konsularischen Schutz der Schweiz verschaffen könnten (vgl. Urteil des Bundesgerichts 2A.176/2004 vom 30. August 2004 E. 2.5).</w:t>
      </w:r>
    </w:p>
    <w:p>
      <w:r>
        <w:rPr>
          <w:b/>
        </w:rPr>
        <w:t>E. 7</w:t>
      </w:r>
    </w:p>
    <w:p>
      <w:r>
        <w:t>Aus diesen Darlegungen folgt, dass die angefochtene Verfügung Bundesrecht nicht verletzt. Der rechtserhebliche Sachverhalt wurde richtig und vollständig festgestellt, und die Vorinstanz hat das ihr zustehende Ermessen pflichtgemäss und zutreffend gehandhabt (vgl. Art. 49 VwVG). Die Beschwerde ist demzufolge abzuweisen.</w:t>
      </w:r>
    </w:p>
    <w:p>
      <w:r>
        <w:rPr>
          <w:b/>
        </w:rPr>
        <w:t>E. 8</w:t>
      </w:r>
    </w:p>
    <w:p>
      <w:r>
        <w:t>Dem Ausgang des Verfahrens entsprechend wird die unterliegende Beschwerdeführerin kostenpflichtig (Art. 63 Abs. 1 VwVG). Die Verfahrenskosten sind auf Fr. 800.- festzusetzen (Art. 1 ff. des Reglements vom 21. Februar 2008 über die Kosten und Entschädigungen vor dem Bundesverwaltungsgericht [VGKE, SR 173.320.2]). Dispositiv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