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C-1047/2020 vom 23. Januar 2020</w:t>
      </w:r>
    </w:p>
    <w:p>
      <w:r>
        <w:t>Bundesverwaltungsgericht, 2020-01-23, DE</w:t>
      </w:r>
    </w:p>
    <w:p>
      <w:r>
        <w:rPr>
          <w:b/>
        </w:rPr>
        <w:t xml:space="preserve">Quelle: </w:t>
      </w:r>
      <w:r>
        <w:t>https://mcp.opencaselaw.ch/entscheid/bvger_C-1047_2020_d20200123</w:t>
      </w:r>
    </w:p>
    <w:p>
      <w:r>
        <w:t>FR: TAF C-1047/2020 du 23 janvier 2020</w:t>
      </w:r>
    </w:p>
    <w:p>
      <w:r>
        <w:t>IT: TAF C-1047/2020 del 23 gennaio 2020</w:t>
      </w:r>
    </w:p>
    <w:p>
      <w:pPr>
        <w:pStyle w:val="Heading2"/>
      </w:pPr>
      <w:r>
        <w:t>Regeste</w:t>
      </w:r>
    </w:p>
    <w:p>
      <w:r>
        <w:t>Rentenanspruch | Invalidenversicherung, Verzugszinsen, Verfügungen der IVSTA vom 23. Januar 2020</w:t>
      </w:r>
    </w:p>
    <w:p>
      <w:pPr>
        <w:pStyle w:val="Heading2"/>
      </w:pPr>
      <w:r>
        <w:t>Erwägungen</w:t>
      </w:r>
    </w:p>
    <w:p>
      <w:r>
        <w:rPr>
          <w:b/>
        </w:rPr>
        <w:t>E. 1.1</w:t>
      </w:r>
    </w:p>
    <w:p>
      <w:r>
        <w:t>Gemäss Art. 31 VGG in Verbindung mit Art. 33 Bst. d VGG und Art. 69 Abs. 1 Bst. b IVG (SR 831.20) ist das Bundesverwaltungsgericht zur Beur- teilung der vorliegenden Beschwerde zuständig.</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 Nach den allgemeinen in- tertemporalrechtlichen Regeln finden diejenigen Verfahrensregeln Anwen- dung, welche im Zeitpunkt der Beschwerdebeurteilung in Kraft stehen (BGE 130 V 1 E. 3.2).</w:t>
      </w:r>
    </w:p>
    <w:p>
      <w:r>
        <w:rPr>
          <w:b/>
        </w:rPr>
        <w:t>E. 1.3</w:t>
      </w:r>
    </w:p>
    <w:p>
      <w:r>
        <w:t>Der Beschwerdeführer ist als Adressat durch die angefochtenen Verfü- gungen berührt und hat ein schutzwürdiges Interesse an deren Aufhebung oder Änderung (Art. 59 ATSG; Art. 48 Abs. 1 VwVG). Auf die unbestritte- nermassen fristgemäss (Art. 60 ATSG; Art. 50 Abs. 1 VwVG) sowie form- gerecht (Art. 52 Abs. 1 VwVG) eingereichte Beschwerde ist daher einzu- treten, nachdem auch der Kostenvorschuss innert Frist geleistet wurde (Art. 63 Abs. 4 VwVG).</w:t>
      </w:r>
    </w:p>
    <w:p>
      <w:r>
        <w:t>C-1047/2020 Seite 5</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w:t>
      </w:r>
    </w:p>
    <w:p>
      <w:r>
        <w:rPr>
          <w:b/>
        </w:rPr>
        <w:t>E. 3.1</w:t>
      </w:r>
    </w:p>
    <w:p>
      <w:r>
        <w:t>Der Beschwerdeführer ist österreichischer Staatsangehöriger mit Wohnsitz in Thailand. Zwischen der Schweiz und Thailand besteht kein Staatsvertrag über Leistungen der Alters-, Hinterlassenen- und Invaliden- versicherung. Zu beachten sind aber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Der Anspruch des Beschwerdeführers auf Leistungen der schweizerischen IV – samt Verzugszinsen als Nebenrechte (vgl. Urteil des BVGer C-2209/2020 vom 24. März 2021 E. 3.1) – beurteilt sich indes auch im Anwendungsbe- reich des FZA und der Koordinierungsvorschriften nach schweizerischem Recht (vgl. BGE 130 V 253 E. 2.4; Urteil des BGer 9C_573/2012 vom 16. Januar 2013 E. 4).</w:t>
      </w:r>
    </w:p>
    <w:p>
      <w:r>
        <w:t>C-1047/2020 Seite 6</w:t>
      </w:r>
    </w:p>
    <w:p>
      <w:r>
        <w:rPr>
          <w:b/>
        </w:rPr>
        <w:t>E. 3.2</w:t>
      </w:r>
    </w:p>
    <w:p>
      <w:r>
        <w:t>In zeitlicher Hinsicht sind grundsätzlich diejenigen Rechtssätze mass- geblich, die bei der Erfüllung des zu Rechtsfolgen führenden Tatbestandes Geltung haben (BGE 144 V 210 E. 4.3.1; 143 V 446 E. 3.3). Deshalb finden jene Vorschriften Anwendung, die spätestens beim Erlass der Verfügungen vom 23. Januar 2020 in Kraft standen.</w:t>
      </w:r>
    </w:p>
    <w:p>
      <w:r>
        <w:rPr>
          <w:b/>
        </w:rPr>
        <w:t>E. 3.3</w:t>
      </w:r>
    </w:p>
    <w:p>
      <w:r>
        <w:t>Das Sozialversicherungsgericht stellt bei der Beurteilung einer Streit- sache in der Regel auf den bis zum Zeitpunkt des Erlasses der streitigen Verwaltungsverfügung (hier: 23. Januar 2020) eingetretenen Sachverhalt ab (BGE 144 V 210 E. 4.3.1; 132 V 215 E. 3.1.1).</w:t>
      </w:r>
    </w:p>
    <w:p>
      <w:r>
        <w:rPr>
          <w:b/>
        </w:rPr>
        <w:t>E. 4.1</w:t>
      </w:r>
    </w:p>
    <w:p>
      <w:r>
        <w:t>Anfechtungsobjekt und zugleich Begrenzung des Streitgegenstandes des vorliegenden Beschwerdeverfahrens (vgl. BGE 131 V 164 E. 2.1) bil- den die beiden Verfügungen der Vorinstanz vom 23. Januar 2020, mit wel- chen die Vorinstanz dem Beschwerdeführer auf den gemäss vorinstanzli- chen Verfügungen vom 19. September 2019 nachzuzahlenden IV-Renten- leistungen (vgl. Bst. B.b) Verzugszinsen in der Höhe von insgesamt Fr. 203.- bzw. Fr. 7'610.- zusprach.</w:t>
      </w:r>
    </w:p>
    <w:p>
      <w:r>
        <w:rPr>
          <w:b/>
        </w:rPr>
        <w:t>E. 4.2</w:t>
      </w:r>
    </w:p>
    <w:p>
      <w:r>
        <w:t>Mit Verfügungen vom 19. September 2019 sprach die IVSTA dem Be- schwerdeführer für die Zeit vom 1. Februar 2012 bis 30. April 2012 (IVSTA- act. 28) sowie für die Zeit ab dem 1. März 2013 (IVSTA-act. 29) eine Drei- viertelsrente zu (vgl. Bst. B.b). Diese beiden Verfügungen wurden – wie erwähnt (Bst. B.c) – ebenfalls beim Bundesverwaltungsgericht angefoch- ten. Die entsprechende Beschwerde wird im konnexen Verfahren C- 5545/2019 gleichzeitig mit dem vorliegenden Verfahren behandelt. Einer Vereinigung der beiden Verfahren bedarf es nicht.</w:t>
      </w:r>
    </w:p>
    <w:p>
      <w:r>
        <w:rPr>
          <w:b/>
        </w:rPr>
        <w:t>E. 4.3</w:t>
      </w:r>
    </w:p>
    <w:p>
      <w:r>
        <w:t>Vorliegend musste kein Vorbescheidverfahren durchgeführt werden, da sich dessen Anwendungsbereich auf die IV-spezifischen Aspekte, hinge- gen nicht auf die AHV-analogen Leistungselemente beschränkt (vgl. UL- RICH MEYER/MARCO REICHMUTH, Rechtsprechung des Bundesgerichts zum IVG, 4. Aufl. 2022, Art. 57a Rz. 2). Beim Verzugszins handelt es sich nicht um einen IV-spezifischen Gesichtspunkt (vgl. Urteil des BVGer C- 2209/2020 vom 24. März 2021 E. 2.6). Das rechtliche Gehör ist aber auch dann zu gewähren, wenn kein Vorbescheidverfahren durchgeführt werden muss (BGE 134 V 97 E. 2.8.2 f.). Vorliegend ist eine Äusserung des Be- schwerdeführers im Vorverfahren darin zu erblicken, dass seine Rechts-</w:t>
      </w:r>
    </w:p>
    <w:p>
      <w:r>
        <w:t>C-1047/2020 Seite 7 vertreterin die Berechnung und Ausrichtung der Verzugszinsen beantragt hat (IVSTA-act. 43).</w:t>
      </w:r>
    </w:p>
    <w:p>
      <w:r>
        <w:rPr>
          <w:b/>
        </w:rPr>
        <w:t>E. 5.1</w:t>
      </w:r>
    </w:p>
    <w:p>
      <w:r>
        <w:t>Nach Art. 26 Abs. 2 ATSG werden die Sozialversicherungen für ihre Leistungen nach Ablauf von 24 Monaten nach der Entstehung des An- spruchs, frühestens aber 12 Monate nach dessen Geltendmachung ver- zugszinspflichtig, sofern die versicherte Person ihrer Mitwirkungspflicht vollumfänglich nachgekommen ist. Werden nachzuzahlende Leistungen an Dritte ausgerichtet, steht ein Anspruch auf Verzugszinsen jedoch weder der anspruchsberechtigten Person noch den betreffenden Dritten zu (vgl. Art. 26 Abs. 4 ATSG). Der Satz für den Verzugszins beträgt 5 % im Jahr (Art. 7 Abs. 1 ATSV [SR 830.11]). Der Verzugszins wird monatlich auf dem bis Ende des Vormonats aufgelaufenen Leistungsanspruch berechnet. Die Zinspflicht beginnt am ersten Tag des Monats, in welchem der Anspruch auf Verzugszinsen entstanden ist, und endet am Ende des Monats, in wel- chem der Zahlungsauftrag erteilt wird (Art. 7 Abs. 2 ATSV).</w:t>
      </w:r>
    </w:p>
    <w:p>
      <w:r>
        <w:rPr>
          <w:b/>
        </w:rPr>
        <w:t>E. 5.2</w:t>
      </w:r>
    </w:p>
    <w:p>
      <w:r>
        <w:t>Vorliegend ist unbestritten, dass der Beschwerdeführer seiner Mitwir- kungspflicht vollumfänglich nachgekommen ist. Anhaltspunkte für eine Ver- letzung der Mitwirkungspflicht sind in den Akten keine ersichtlich. Aus der gleichzeitigen Beurteilung der konnexen Streitsache C-5545/2019 ergibt sich allerdings, dass dem Beschwerdeführer für die Zeit vor der Umschu- lung (16. April 2012 bis 28. Februar 2013) kein Anspruch auf eine IV-Rente zusteht, weshalb die angefochtene Verfügung vom 19. September 2019, mit welcher dem Beschwerdeführer rückwirkend für die Zeit vom 1. Februar 2012 bis 30. April 2012 eine Dreiviertelsrente zugesprochen wurde, aufge- hoben wird (vgl. E. 5.2 des Urteils C-5545/2019). Da dem Beschwerdefüh- rer für diesen Zeitraum somit keine IV-Rente zusteht, kann ihm diesbezüg- lich auch kein Verzugszins zugesprochen werden. Die hier angefochtene Verfügung 1 ist daher aufzuheben. Hinsichtlich der Zeit ab dem 1. März 2013 wird dem Beschwerdeführer im konnexen Urteil C-5545/2019 – an- stelle der verfügten Dreiviertelsrente – hingegen eine ganze IV-Rente zu- gesprochen (E. 7). Dem Beschwerdeführer ist dementsprechend für die ihm ab dem 1. März 2013 nachzuzahlende ganze IV-Rente (zuzüglich Kin- derrente) ein Verzugszins von 5 % ab dem 1. März 2015 zuzusprechen, sofern die Leistungen ihm (und nicht Dritten) ausgerichtet werden und da- mit kein Fall von Art. 26 Abs. 4 ATSG vorliegt. Die Verfügung 2, welche sich auf eine Dreiviertelsrente bezieht, ist folglich ebenfalls aufzuheben.</w:t>
      </w:r>
    </w:p>
    <w:p>
      <w:r>
        <w:t>C-1047/2020 Seite 8</w:t>
      </w:r>
    </w:p>
    <w:p>
      <w:r>
        <w:rPr>
          <w:b/>
        </w:rPr>
        <w:t>E. 6</w:t>
      </w:r>
    </w:p>
    <w:p>
      <w:r>
        <w:t>Zusammenfassend ist festzuhalten, dass die Beschwerde gutzuheissen ist. Die angefochtenen Verfügungen vom 23. Januar 2020 sind aufzuhe- ben. Dem Beschwerdeführer ist für die ihm ab dem 1. März 2013 auszu- richtende ganze IV-Rente (zuzüglich Kinderrente) ein Verzugszins von 5 % ab dem 1. März 2015 zuzusprechen. Die Akten sind nach Eintritt der Rechtskraft dieses Urteils zwecks Berechnung des Verzugszinses an die Vorinstanz zu überweisen.</w:t>
      </w:r>
    </w:p>
    <w:p>
      <w:r>
        <w:rPr>
          <w:b/>
        </w:rPr>
        <w:t>E. 7</w:t>
      </w:r>
    </w:p>
    <w:p>
      <w:r>
        <w:t>Zu befinden bleibt über die Verfahrenskosten und eine allfällige Parteient- schädigung.</w:t>
      </w:r>
    </w:p>
    <w:p>
      <w:r>
        <w:rPr>
          <w:b/>
        </w:rPr>
        <w:t>E. 7.1</w:t>
      </w:r>
    </w:p>
    <w:p>
      <w:r>
        <w:t>Das Beschwerdeverfahren ist kostenpflichtig (Art. 69 Abs. 1bis und 2 IVG). Die Verfahrenskosten werden in der Regel der unterliegenden Partei auferlegt (Art. 63 Abs. 1 Satz 1 VwVG). Unterliegt diese nur teilweise, so werden die Verfahrenskosten ermässigt (Art. 63 Abs. 1 Satz 2 VwVG). Das für die Kostenverlegung massgebende Ausmass des Unterliegens hängt vorab von den im konkreten Fall in der Beschwerde gestellten Rechtsbe- gehren ab (vgl. BGE 123 V 156 E. 3c).</w:t>
      </w:r>
    </w:p>
    <w:p>
      <w:r>
        <w:rPr>
          <w:b/>
        </w:rPr>
        <w:t>E. 7.2</w:t>
      </w:r>
    </w:p>
    <w:p>
      <w:r>
        <w:t>Wie im konnexen Verfahren C-5545/2019 ist der Beschwerdeführer vorliegend als grundsätzlich obsiegend zu betrachten ist. Dem Beschwer- deführer sind daher keine Verfahrenskosten aufzuerlegen. Der geleistete Kostenvorschuss von Fr. 800.- ist dem Beschwerdeführer nach Eintritt der Rechtskraft des vorliegenden Urteils auf ein von ihm zu bezeichnendes Konto zurückzuerstatten. Der Vorinstanz sind ebenfalls keine Verfahrens- kosten aufzuerlegen (Art. 63 Abs. 2 VwVG).</w:t>
      </w:r>
    </w:p>
    <w:p>
      <w:r>
        <w:rPr>
          <w:b/>
        </w:rPr>
        <w:t>E. 7.3</w:t>
      </w:r>
    </w:p>
    <w:p>
      <w:r>
        <w:t>Dem vertretenen Beschwerdeführer steht eine von der Vorinstanz zu entrichtende Parteientschädigung zu (vgl. Art. 64 Abs. 1 VwVG i.V.m. Art. 7 Abs. 1 und Art. 12 des Reglements vom 21. Februar 2008 über die Kosten und Entschädigungen vor dem Bundesverwaltungsgericht [VGKE, SR 173. 320. 2]).</w:t>
      </w:r>
    </w:p>
    <w:p>
      <w:r>
        <w:rPr>
          <w:b/>
        </w:rPr>
        <w:t>E. 7.3.1</w:t>
      </w:r>
    </w:p>
    <w:p>
      <w:r>
        <w:t>Die Rechtsvertreterin des Beschwerdeführers macht in ihrer Hono- rarnote vom 15. Juli 2020 (BVGer-act. 10/1) für den Zeitraum vom 23. Sep- tember 2019 bis 15. Juli 2020 ein Honorar von Fr. 5'742.50 (22.97 Stunden à Fr. 250.-) sowie Barauslagen von Fr. 630.20 geltend. Die Honorarnote betrifft das konnexe Beschwerdeverfahren C-5545/2019 sowie das vorlie- gende Verfahren. Der in der Honorarnote geltend gemachte Zeitaufwand</w:t>
      </w:r>
    </w:p>
    <w:p>
      <w:r>
        <w:t>C-1047/2020 Seite 9 wird für die beiden Verfahren allerdings nicht separat aufgelistet. Einzig zwei Positionen (vom 27. Januar 2020 und 19. Februar 2020) betreffen explizit das vorliegende Verfahren bzw. einen Aufwand von insgesamt 1.15 Stunden. Der übrige Zeitaufwand ist dem Verfahren C-5545/2019 zuzuord- nen.</w:t>
      </w:r>
    </w:p>
    <w:p>
      <w:r>
        <w:rPr>
          <w:b/>
        </w:rPr>
        <w:t>E. 7.3.2</w:t>
      </w:r>
    </w:p>
    <w:p>
      <w:r>
        <w:t>Das Anwaltshonorar wird nach dem notwendigen Zeitaufwand des Vertreters bemessen (Art. 10 Abs. 1 VGKE). Der für das vorliegende Ver- fahren geltend gemachte Zeitaufwand von 1.15 Stunden erscheint ange- messen und notwendig. Damit ist das anwaltliche Honorar beim geltend gemachten Stundenansatz von Fr. 250.- (vgl. Art. 10 Abs. 2 VGKE) auf Fr. 287.50 festzusetzen (Mehrwertsteuer ist nicht geschuldet, vgl. Art. 1 Abs. 2 Bst. a i.V.m. Art. 8 Abs. 1 MWSTG [SR 641.20] und Art. 9 Abs. 1 Bst. c VGKE). Zudem sind für das vorliegende Verfahren (verbleibende) Spesen von Fr. 50.- zu ersetzen (Art. 9 Abs. 1 Bst. b VGKE). Eine Partei- entschädigung von insgesamt Fr. 337.50 ist daher angemessen. Entspre- chend dem Ausgang des Verfahrens hat die Vorinstanz den Beschwerde- führer folglich mit Fr. 337.50 zu entschädigen.</w:t>
      </w:r>
    </w:p>
    <w:p>
      <w:r>
        <w:t>Das Dispositiv folgt auf der nächsten Seite.</w:t>
      </w:r>
    </w:p>
    <w:p>
      <w:r>
        <w:t>C-1047/2020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