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C-1040/2010 vom 16. August 2010</w:t>
      </w:r>
    </w:p>
    <w:p>
      <w:r>
        <w:t>Bundesverwaltungsgericht, 2010-08-16, DE</w:t>
      </w:r>
    </w:p>
    <w:p>
      <w:r>
        <w:rPr>
          <w:b/>
        </w:rPr>
        <w:t xml:space="preserve">Quelle: </w:t>
      </w:r>
      <w:r>
        <w:t>https://mcp.opencaselaw.ch/entscheid/bvger_C-1040_2010</w:t>
      </w:r>
    </w:p>
    <w:p>
      <w:r>
        <w:t>FR: TAF C-1040/2010 du 16 août 2010</w:t>
      </w:r>
    </w:p>
    <w:p>
      <w:r>
        <w:t>IT: TAF C-1040/2010 del 16 agosto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die Gesuchstellerin als kosovarische Staatsangehörige der Visumspflicht.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Die Gesuchstellerin lebt in der inzwischen unabhängigen und von der Schweiz als Staat anerkannten Republik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es herrscht wirtschaftliche Stagnation und die Arbeitslosigkeit bleibt hartnäckig hoch. So sind mehr als die Hälfte der Erwerbsfähigen ohne oder zumindest ohne regelmässiges Einkommen. Der Armutsanteil der Bevölkerung im Kosovo liegt bei 45%; 17% der Staatsbürger leben sogar in extremer Armut (vgl. Weltbank, www.worldbank.org &gt; Countries &gt; Kosovo &gt; Overview &gt; Country Brief 2010, Stand: April 2010, besucht im August 2010). Die Tendenz zur Auswanderung zeigt sich zwar erfahrungsgemäss besonders stark bei jüngeren und ungebundenen Personen, aber auch sozial eingebundene Menschen und solche reiferen Alters fassen oft diesen Weg ins Auge. Ein im Ausland bereits bestehendes, minimales soziales Beziehungsnetz (Verwandte oder Freunde) ist ein wichtiges Element, das den Entscheid auszuwandern erleichtern kann. Es gilt nach Möglichkeit zu verhindern, dass Gesuchsteller ihre Anwesenheit in der Schweiz - entgegen ihrer ursprünglichen Absichtserklärung - dazu nutzen, ein Asylgesuch einzureichen oder die fristgerechte Wiederausreise auf andere Weise zu umgehen. Der Zuwanderungsdruck spiegelt sich denn auch in der schweizerischen Asylstatistik wieder: So stammten im Jahr 2009 4.3% der Asylsuchenden aus dem Kosovo, der damit in der Statistik der Asylgesuche nach Nationen - mit insgesamt 694 Gesuchen - an siebter Stelle stand (vgl. kommentierte BFM-Asylstatistik 2009, S. 10). Seit dem 1. April 2009 gilt der Kosovo zwar als verfolgungssicherer Staat (Safe Country), dies gemäss Beschluss des Bundesrates vom 6. März 2009. Es wird sich aber zeigen müssen, ob und falls ja, welchen Einfluss dies auf künftige Asylbewerberzahlen haben wird. Immerhin stellten im 3. Quartal 2009 noch 179 Personen und im 4. Quartal 151 Personen aus dem Kosovo hier ein Asylgesuch. Im 1. und 2. Quartal 2010 sank deren Zahl auf 140; Kosovo liegt damit aber immer noch an achter Stelle der Herkunftsländer von Asylsuchenden (vgl. kommentierte BFM-Asylstatistik, 3. und 4. Quartal 2009 sowie kommentierte Asylstatistik 1. und 2. Quartal 2010).</w:t>
      </w:r>
    </w:p>
    <w:p>
      <w:r>
        <w:rPr>
          <w:b/>
        </w:rPr>
        <w:t>E. 6.4</w:t>
      </w:r>
    </w:p>
    <w:p>
      <w:r>
        <w:t>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für eine anstandslose Wiederausreise begünstigen.</w:t>
      </w:r>
    </w:p>
    <w:p>
      <w:r>
        <w:rPr>
          <w:b/>
        </w:rPr>
        <w:t>E. 6.5</w:t>
      </w:r>
    </w:p>
    <w:p>
      <w:r>
        <w:t>Die im Kosovo lebende Gesuchstellerin ist 64-jährig und verwitwet. Gemäss den Akten leben ihre Kinder - mit Ausnahme einer Tochter - nicht mehr im Kosovo (vgl. Ziff. 2 des ausgefüllten kantonalen Fragebogens). Gemäss einer Bestätigung des Innenministeriums der Republik Kosovo vom 3. Dezember 2009 leben keine weiteren Personen mehr mit ihr im gleichen Haushalt. Aufgrund dieser Sachlage kann demnach nicht davon ausgegangen werden, die Gesuchstellerin verfüge im Kosovo über genügenden familiären Rückhalt, welcher sie nachhaltig von einer Emigration abzuhalten vermöchte.</w:t>
      </w:r>
    </w:p>
    <w:p>
      <w:r>
        <w:rPr>
          <w:b/>
        </w:rPr>
        <w:t>E. 6.6</w:t>
      </w:r>
    </w:p>
    <w:p>
      <w:r>
        <w:t>Demgegenüber verfügt die Eingeladene mit ihrer hierzulande lebenden Tochter und deren Ehemann bereits über enge Bezugspersonen in der Schweiz. In diesem Zusammenhang gilt es insbesondere auch dem Umstand Rechnung zu tragen, dass sämtliche Familienangehörige der Gesuchstellerin ihr Heimatland verlassen haben und in andere europäische Länder übersiedelt sind. Dieser Umstand weist auf einen konkreten Migrationswillen im nächsten Umfeld der Eingeladenen hin. Zwar wurde diesbezüglich beschwerdeweise geltend gemacht, die Gesuchstellerin besitze im Kosovo einen kleinen Bauernhof mit Tieren, den sie zu versorgen habe. Diesem Einwand ist jedoch entgegenzuhalten, dass in Anbetracht der beabsichtigten Aufenthaltsdauer in der Schweiz von 90 Tagen, nicht davon ausgegangen werden kann, die Anwesenheit der Gesuchstellerin im Heimatland sei zwingend erforderlich. Eine besondere Verpflichtung kann demzufolge daraus nicht abgeleitet werden. Überdies hat die Gesuchstellerin selbst im Visumantrag vom 6. Januar 2010 ihre landwirtschaftliche Tätigkeit nicht erwähnt, sondern lediglich angegeben, sie sei Hausfrau (amvise).</w:t>
      </w:r>
    </w:p>
    <w:p>
      <w:r>
        <w:rPr>
          <w:b/>
        </w:rPr>
        <w:t>E. 6.7</w:t>
      </w:r>
    </w:p>
    <w:p>
      <w:r>
        <w:t>Zu berücksichtigen sind in casu auch eventuelle altersbedingte gesundheitliche Probleme. Diese bergen ein erhöhtes Risiko in sich, die Gesuchstellerin könnte nach einem mehrmonatigen Aufenthalt in der Schweiz geneigt sein, den Lebensabend im Umfeld ihrer in der Schweiz lebenden Tochter und deren Familie zu verbringen. Angesichts dieser Sachlage bestehen Anzeichen einer möglichen Übersiedelung und demzufolge begründete Zweifel am deklarierten Aufenthaltszweck (Besuchsaufenthalt; vgl. Art. 15 Abs. 1 Bst. b i.V.m. Art. 16 und Art. 12 Abs. 2 Bst. c in fine VEV).</w:t>
      </w:r>
    </w:p>
    <w:p>
      <w:r>
        <w:rPr>
          <w:b/>
        </w:rPr>
        <w:t>E. 6.8</w:t>
      </w:r>
    </w:p>
    <w:p>
      <w:r>
        <w:t>Vor dem allgemeinen und persönlichen Hintergrund durfte die Vorinstanz demnach davon ausgehen, dass keine hinreichende Gewähr für eine fristgerechte und anstandslose Wiederausreise der Gesuchstellerin nach einem Besuchsaufenthalt besteht. An dieser Beurteilung vermögen auch die Zusicherungen der Beschwerdeführerin nichts zu ändern. Als Gastgeberin kann sie zwar für gewisse finanzielle Risiken im Zusammenhang mit dem Besuchsaufenthalt, aus nahe liegenden Gründen aber nicht für ein bestimmtes Verhalten ihres Gastes garantieren.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(BVGE 2009/27 E. 9). Der Beschwerdeführerin steht weiterhin die Möglichkeit offen, ihre Mutter im Kosovo zu besuchen.</w:t>
      </w:r>
    </w:p>
    <w:p>
      <w:r>
        <w:rPr>
          <w:b/>
        </w:rPr>
        <w:t>E. 7</w:t>
      </w:r>
    </w:p>
    <w:p>
      <w:r>
        <w:t>Aus den dargelegten Gründen ist daher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8</w:t>
      </w:r>
    </w:p>
    <w:p>
      <w:r>
        <w:t>Dem Ausgang des Verfahrens entsprechend wird die unterliegende Beschwerdeführerin kostenpflichtig (Art. 63 Abs. 1 VwVG). Die Verfahrenskosten sind auf Fr. 700.-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