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C-1039/2006 vom 21. November 2007</w:t>
      </w:r>
    </w:p>
    <w:p>
      <w:r>
        <w:t>Bundesverwaltungsgericht, 2007-11-21, FR</w:t>
      </w:r>
    </w:p>
    <w:p>
      <w:r>
        <w:rPr>
          <w:b/>
        </w:rPr>
        <w:t xml:space="preserve">Quelle: </w:t>
      </w:r>
      <w:r>
        <w:t>https://mcp.opencaselaw.ch/entscheid/bvger_C-1039_2006</w:t>
      </w:r>
    </w:p>
    <w:p>
      <w:r>
        <w:t>FR: TAF C-1039/2006 du 21 novembre 2007</w:t>
      </w:r>
    </w:p>
    <w:p>
      <w:r>
        <w:t>IT: TAF C-1039/2006 del 21 novembre 2007</w:t>
      </w:r>
    </w:p>
    <w:p>
      <w:pPr>
        <w:pStyle w:val="Heading2"/>
      </w:pPr>
      <w:r>
        <w:t>Regeste</w:t>
      </w:r>
    </w:p>
    <w:p>
      <w:r>
        <w:t>Reconnaissance du statut d'apatride</w:t>
      </w:r>
    </w:p>
    <w:p>
      <w:pPr>
        <w:pStyle w:val="Heading2"/>
      </w:pPr>
      <w:r>
        <w:t>Erwägungen</w:t>
      </w:r>
    </w:p>
    <w:p>
      <w:r>
        <w:rPr>
          <w:b/>
        </w:rPr>
        <w:t>E. 1.1</w:t>
      </w:r>
    </w:p>
    <w:p>
      <w:r>
        <w:t>Conformément à l'art. 14 al. 3 de l'ordonnance du 17 novembre 1999 sur l'organisation du Département fédéral de justice et police (Org DFJP, RS 172.213.1), l'ODM est compétent notamment en matière de reconnaissance de la qualité d'apatride.</w:t>
      </w:r>
    </w:p>
    <w:p>
      <w:r>
        <w:rPr>
          <w:b/>
        </w:rPr>
        <w:t>E. 1.2</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aux art. 33 et 34 LTAF.</w:t>
      </w:r>
    </w:p>
    <w:p>
      <w:r>
        <w:rPr>
          <w:b/>
        </w:rPr>
        <w:t>E. 1.3</w:t>
      </w:r>
    </w:p>
    <w:p>
      <w:r>
        <w:t>En particulier, les décisions de l'ODM en matière de reconnaissance de la qualité d'apatride peuvent, conformément à l'art. 47 al. 1 let. b PA, être contestées devant le TAF.</w:t>
      </w:r>
    </w:p>
    <w:p>
      <w:r>
        <w:rPr>
          <w:b/>
        </w:rPr>
        <w:t>E. 1.4</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1.5</w:t>
      </w:r>
    </w:p>
    <w:p>
      <w:r>
        <w:t>En tant qu'ils sont directement touchés par la décision attaquée, A._______ et B._______ ont qualité pour recourir (cf. art. 48 PA). Présenté dans la forme et les délais prescrits par la loi, le recours est recevable (cf. art. 50ss PA).</w:t>
      </w:r>
    </w:p>
    <w:p>
      <w:r>
        <w:rPr>
          <w:b/>
        </w:rPr>
        <w:t>E. 2</w:t>
      </w:r>
    </w:p>
    <w:p>
      <w:r>
        <w:t>Selon l'art. 1er al. 1 de la Convention relative au statut des apatrides, conclue à New-York le 28 septembre 1954 et entrée en vigueur, pour la Suisse, le 1er octobre 1972 (RO 1972 II 237 [ci-après: la Convention]),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 du Tribunal fédéral 2A.78/2000 du 23 mai 2000, consid. 2a). Ainsi que l'a précisé le Tribunal fédéral dans sa jurisprudence, la Convention sert au premier chef à aider les personnes défavorisées par le sort qui, sans elle, seraient dans la détresse. Elle n'a pas pour but de permettre à tout personne qui le désire de bénéficier du statut d'apatride qui est, à certains égards, plus favorable que celui des autres étrangers (en matière d'assistance notamment).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(RS 0.142.30; cf. Message du 11 août 1971 du Conseil fédéral à l'Assemblée fédérale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L'Organisation des Nations Unies s'efforce en effet depuis longtemps de réduire au minimum les cas d'apatridie. Dans ces circonstances, il y a lieu d'interpréter l'art. 1er de la Convention dans ce sens que, par apatrides, il faut entendre les personnes qui, sans intervention de leur part, ont été privées de leur nationalité et n'ont aucune possibilité de la recouvrer. A contrario, la Convention n'est pas applicable aux personnes qui abandonnent volontairement leur nationalité ou refusent, sans raisons valables, de la recouvrer, alors qu'ils ont la possibilité de le faire, dans le seul but d'obtenir le statut d'apatride (cf. arrêts du Tribunal fédéral 2A.153/2005 du 17 mars 2005, consid. 2.1; 2A.388/2004 du 6 septembre 2004, consid. 4.1; 2A.78/2000 du 23 mai 2000, consid. 2b; 2A.373/1993 du 4 juillet 1994, consid. 2b et 2c et réf. citées; voir également Samuel Werenfels, Der Begriff des Flüchtlings im schweizerischen Asylrecht, Diss. Bern/Frankfurt am Main/New York/Paris 1987, S. 128/129; cf. en outre l'arrêt du Tribunal fédéral 2A.65/1996 du 3 octobre 1996 partiellement publié dans la Jurisprudence des autorités administratives de la Confédération [JAAC] 61.74 consid. 3). Pour être reconnu comme apatride au sens de l'art. 1er al. 1 de la Convention, il appartient donc en premier lieu au requérant d'apporter la preuve qu'il a perdu sa nationalité antérieure en produisant à cet effet une attestation correspondante des autorités de son ancienne patrie.</w:t>
      </w:r>
    </w:p>
    <w:p>
      <w:r>
        <w:rPr>
          <w:b/>
        </w:rPr>
        <w:t>E. 3.1</w:t>
      </w:r>
    </w:p>
    <w:p>
      <w:r>
        <w:t>Il ressort des pièces du dossier que A._______ a indiqué, lors de son séjour accompli en Suisse au cours de l'année 1999 en tant que requérant d'asile, être en possession, depuis 1991, d'un passeport de la République fédérale de Yougoslavie valable cinq ans et portant le numéro VS 006319. Selon les indications complémentaires dont il a fait part à cette occasion, l'original de ce passeport était entre les mains des autorités de la République fédérale d'Allemagne auprès desquelles il avait, par deux fois, engagé sans succès une procédure d'asile. La copie d'un document similaire figurait précisément parmi les diverses pièces contenues dans le colis qui a été intercepté par le Corps des gardes frontières de Bâle en décembre 2003 et dont l'envoi avait été effectué sur territoire allemand. A l'intérieur dudit colis se trouvait également la copie d'un passeport macédonien établi en décembre 2002 au nom de A._______ et valable dix ans. Dans leurs divers écrits, les recourants n'ont jamais contesté l'authenticité de ces documents, sur lesquels l'Office fédéral n'a, au demeurant, pas trouvé trace d'une falsification. Or, en dépit de leurs assertions laissant entendre que A._______ n'est plus titulaire de la nationalité macédonienne, les intéressés n'ont nullement apporté la preuve, ni fourni d'indices concrets propres à établir que le prénommé avait, indépendamment de sa volonté, été formellement déchu, par une décision idoine des autorités macédoniennes, de cette nationalité. En effet, dans leurs déterminations du 9 août 2004, A._______ et sa famille ont allégué que les autorités serbes avaient saisi le passeport macédonien délivré en décembre 2002 au prénommé et avaient remis à celui-ci, en remplacement du passeport concerné, un document n'autorisant qu'un aller simple vers la Macédoine; ils n'ont toutefois pas donné d'indices démontrant que la nationalité macédonienne lui avait officiellement été retirée, ni fait allusion à semblable retrait. En tout état de cause, même dans l'hypothèse où de tels indices auraient été fournis, les démarches entreprises au cours de la présente procédure par les autorités helvétiques auprès des services administratifs macédoniens compétents tendent plutôt à confirmer que A._______ n'est actuellement pas dépourvu de la nationalité macédonienne. En effet, il appert que la Représentation de Suisse à Skopje a, sur invitation de l'Office fédéral, pris contact avec les autorités macédoniennes et obtenu délivrance de la part de celles-ci, le 14 mars 2005, d'un acte de naissance et d'un acte de citoyenneté au nom de A._______. Ainsi que l'a souligné l'autorité d'instruction lors de la communication aux recourants de la prise de position de l'Office fédéral du 21 septembre 2006, le second document ainsi établi le 14 mars 2005 est postérieur aux diverses pièces que les intéressés ont produites aux fins d'étayer leurs allégations concernant le refus des autorités macédoniennes de reconnaître A._______ comme un ressortissant macédonien (cf. lettre du DFJP du 23 octobre 2006). Aucun élément probant ou indice sérieux de nature à remettre en cause l'authenticité de l'acte de citoyenneté du 14 mars 2005 n'a en outre, comme cela ressort des motifs exposés ci-dessus, été fourni par les recourants après que cet Office leur eût transmis, le 22 avril 2005, une copie de ce dernier document. Dans le délai fixé pour faire connaître leur réplique, les intéressés n'ont pas davantage apporté d'arguments pertinents qui permettent de douter du caractère authentique et actuel de l'acte de citoyenneté du 14 mars 2005. Les seules déclarations écrites de l'épouse et du frère de A._______ qui ont été remises par les recourants au TAF et qui relatent les circonstances dans lesquelles s'est déroulée l'entrevue intervenue, le 17 novembre 2006, entre les trois dernières personnes citées et les services de la Représentation de la Macédoine en Suisse ne sont pas susceptibles, dans la mesure où la nature de la requête formulée à cette occasion auprès de ladite Représentation et le contenu des propos échangés entre les intervenants n'apparaissent pas clairement établis, de modifier l'appréciation du cas. Il s'ensuit au vu des constatations qui précèdent que A._______ ne saurait, dès lors que sa nationalité macédonienne s'avère avoir été dûment attestée par les autorités de la Macédoine à l'attention de la Représentation de Suisse à Skopje, être considéré comme apatride au sens de l'art. 1er de la Convention. A cet égard, il s'impose encore de relever que la thèse des recourants selon laquelle A._______, auquel a été délivré, en décembre 2002, un passeport national macédonien, aurait perdu entre-temps cette nationalité ne repose que sur des contradictions et différences constatées dans les documents antérieurs à l'acte de citoyenneté macédonien du 14 mars 2005. Au demeurant, même si le TAF devait retenir cette thèse, le prénommé n'a, à aucun moment, démontré avoir engagé auprès des autorités macédoniennes les démarches utiles prescrites par la législation de cet Etat en vue de la recouvrer ou être dans l'impossibilité, sur le vu de ladite législation, d'obtenir sa réintégration dans la nationalité macédonienne.</w:t>
      </w:r>
    </w:p>
    <w:p>
      <w:r>
        <w:rPr>
          <w:b/>
        </w:rPr>
        <w:t>E. 3.2</w:t>
      </w:r>
    </w:p>
    <w:p>
      <w:r>
        <w:t>Ainsi que l'a d'autre part souligné l'autorité d'instruction à l'attention des recourants dans sa lettre du 23 octobre 2006, il n'est pas contestable au vu des pièces versées au dossier que B._______ et les quatre enfants C._______, D._______, E._______ et F._______, sont en possession d'actes de naissance établis en 2003 et 2004 par les services d'état civil de Vrsac et de Prizren, localités situées en Serbie. Dans le cadre de la présente procédure, les recourants n'ont pas non plus démontré que les cinq personnes susnommées étaient actuellement privées, en regard de la législation serbe, de la faculté d'être officiellement reconnues par les autorités compétentes de la Serbie comme des ressortissants de cet Etat. Par ailleurs, les recourants n'ont pas établi de manière formelle que les prénommés avaient effectué toutes les démarches prescrites par la législation serbe en vue de la reconnaissance de cette nationalité. De ce fait, B._______ et les quatre enfants C._______, D._______, E._______ et F._______ ne peuvent, en considération des critères posés par la jurisprudence fédérale (cf. consid. 2 ci-dessus), être tenus pour des apatrides au sens de l'art. 1er de la Convention. Il va de soi, au vu des exigences strictes régissant la reconnaissance du statut d'apatride, que les documents versés au dossier, sur lesquels les recourants fondent leur argumentation et qui consistent en des attestations officielles indiquant que l'un ou l'autre des intéressés n'est pas reconnu par les autorités de Serbie ou de Macédoine comme un ressortissant de l'Etat concerné ne suffisent pas, en considération de ce qui précède, à justifier la reconnaissance d'un tel statut, ce d'autant que les conditions dans lesquelles ont été établis les documents en question ne sont pas connues du Tribunal de céans. Au surplus, l'argument tiré de l'octroi, par les autorités helvétiques, au frère de A._______, venu en Suisse au début de l'année 1999, d'un document de voyage pour étrangers (plus précisément d'un passeport pour étrangers) n'a aucune portée déterminante pour l'examen de la présente affaire. Indépendamment du fait que la personne concernée est actuellement sous le coup d'une mesure de renvoi cantonale, il ressort du dossier constitué à son nom (C-1057/2006) que la procédure de recours concernant le renouvellement dudit document de voyage a été radiée du rôle le 30 octobre 2007, de sorte que l'on ne saurait en déduire de quelconques conclusions en faveur des recourants. Il importe de surcroît de souligner que, par décision du 29 novembre 2004, l'Office fédéral n'est pas entré en matière sur la demande du frère de A._______ visant à la reconnaissance du statut d'apatride.</w:t>
      </w:r>
    </w:p>
    <w:p>
      <w:r>
        <w:rPr>
          <w:b/>
        </w:rPr>
        <w:t>E. 4</w:t>
      </w:r>
    </w:p>
    <w:p>
      <w:r>
        <w:t>Au regard des éléments exposés ci-avant, il n'existe par conséquent aucun motif qui soit de nature à justifier, comme le requièrent les recourants, des mesures d'instruction complémentaires, à savoir en particulier l'interpellation des autorités macédoniennes sur la réponse que celles-ci entendent donner à la demande écrite que leur ont adressée les intéressés le 11 mai 2005 en vue de l'obtention d'une autorisation destinée principalement à leur permettre de prendre résidence sur territoire macédonien. La procédure administrative est régie essentiellement par la maxime inquisitoire, selon laquelle l'autorité définit les faits pertinents et les preuves nécessaires, qu'elle ordonne et apprécie d'office (cf. art. 12 PA). Ainsi, la maxime d'office n'impose pas à l'autorité d'administrer la preuve de toutes les allégations qui lui sont présentées par le justiciable. Elle ne se souciera que des faits pertinents, qui sont propres à influer sur la solution du litige. En d'autres termes, la maxime inquisitoire signifie que l'autorité peut corriger ou compléter un état de fait présenté par la partie, mais non pas qu'elle doit, sur réquisition de la partie, compléter cet état de fait si aucune circonstance particulière ne l'exige.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(art. 29 al. 2 de la Constitution fédérale de la Confédération suisse du 18 avril 1999 [Cst., RS 101]) que si l'appréciation anticipée de la pertinence du moyen de preuve offert, à laquelle l'autorité a ainsi procédé, est entachée d'arbitraire (cf. sur ces divers points notamment ATF 131 I 153 consid. 3; 130 II 425 consid. 2.1; 125 V 193 consid. 2; JAAC 68.10 consid. 3b, 64.5 consid. 6a, 45.43). En outre, la maxime inquisitoire doit être relativisée par son corollaire, soit le devoir des parties de collaborer à l'établissement des faits (ATF 128 II 139 consid. 2b; 124 II 361 consid. 2b; 120 V 357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 citées; cf. également ATF 130 I 183 consid. 3.2). Ce devoir concerne en premier lieu l'administré qui adresse une demande à l'autorité dans son propre intérêt (cf. art. 13 PA). Il s'impose d'autant plus lorsqu'il s'agit de faits que l'administré est mieux à même de connaître, particulièrement de ceux qui ont trait à sa situation personnelle, laquelle s'écarte de l'ordinaire (cf. ATF 125 V 193 consid. 2; 119 V 208 consid. 3b; voir aussi les arrêts du Tribunal fédéral 2A.592/2006 du 25 janvier 2007, consid. 4.2, et 2A.78/2000 du 23 mai 2000, consid. 3, ainsi que les réf. citées). En l'espèce, les autorités macédoniennes ont, suite aux démarches entreprises par la Représentation de Suisse à Skopje auprès de ces dernières, établi à l'attention de ladite Représentation, le 14 mars 2005, un acte de naissance et un acte de citoyenneté au nom de A._______. Dès lors que l'acte de citoyenneté atteste de manière formelle que A._______ est titulaire de la nationalité macédonienne et faute pour les recourants d'avoir, conformément aux principes régissant l'administration des preuves en procédure administrative, fourni un quelconque élément concret propre à remettre en cause l'authenticité de ce second document, le TAF peut donc en l'état, sans arbitraire, considérer que les faits sont établis à satisfaction de droit et conclure, sur la base des constatations qui précèdent, que le prénommé n'est pas en mesure de se prévaloir de la qualité d'apatride au sens de l'art. 1er de la Convention. Rien ne justifie dans ces circonstances que d'autres mesures d'instruction soient ordonnées aux fins d'éclaircir le bien-fondé de la demande d'apatridie formulée par A._______. En particulier, la question soulevée par les recourants en ce qui concerne l'aménagement de leurs conditions de résidence en Macédoine est sans importance pour l'examen du présent litige en considération de cette dernière disposition. Au demeurant, ainsi que mentionné plus haut, l'admission du bien-fondé de la demande d'apatridie déposée par les recourants impliquait de la part de ces derniers, en tant que ceux-ci prétendent que A._______ n'est pas reconnu par les autorités de la Serbie, ni par celles de la Macédoine, comme un ressortissant de l'un ou de l'autre Etat, qu'ils démontrassent tout au moins que le prénommé, titulaire depuis l'année 2002 d'un passeport macédonien valable dix ans, avait formellement été déchu, par décision des autorités compétentes, de la nationalité ainsi attestée dans ce document. Les intéressés ne l'ont du reste jamais allégué en cours de procédure. De même, des mesures d'instruction complémentaires ne sauraient se justifier à l'égard de B._______ et des quatre enfants C._______, D._______, E._______ et F._______, tous en possession d'un extrait d'acte de naissance délivré en 2003 ou 2004 par les autorités de l'ex-Serbie-et-Monténégro, les recourants n'ayant eux-mêmes fourni aucun élément tendant à établir qu'il était exclu pour les susnommés de pouvoir être officiellement reconnus, en regard de la législation de la Serbie, comme des ressortissants de cet Etat.</w:t>
      </w:r>
    </w:p>
    <w:p>
      <w:r>
        <w:rPr>
          <w:b/>
        </w:rPr>
        <w:t>E. 5</w:t>
      </w:r>
    </w:p>
    <w:p>
      <w:r>
        <w:t>Il ressort de ce qui précède que, par sa décision du 27 juin 2005, l'Office fédéral n'a ni violé le droit fédéral ni constaté des faits pertinents de manière inexacte ou incomplète; en outre, cette décision n'est pas inopportune (art. 49 PA). En conséquence, le recours est rejeté. Par décision incidente du 4 novembre 2005, le DFJP a mis les recourants au bénéfice de l'assistance judiciaire et désigné Me Gilles Monnier comme avocat d'office en application de l'art. 65 al. 1 et 2 PA. Il y a donc lieu de dispenser les intéressés du paiement des frais de la présente procédure et d'allouer à Me Gilles Monnier une indemnité à titre d'honoraires (art. 8 à 10 en relation avec l'art. 12 et l'art. 14 du règlement du 11 décembre 2006 concernant les frais, dépens et indemnités fixés par le Tribunal administratif fédéral [FITAF, RS 173.320.2]). Les recourants ont l'obligation de rembourser ce montant s'ils reviennent à meilleure fortune, conformément à l'art. 65 al. 4 PA. A teneur de l'art. 12 FITAF, l'indemnité des avocats commis d'office est la même que celle des représentants conventionnels. Ainsi que cela résulte de l'art. 64 al. 1 PA - en relation avec l'art. 7 al. 1 FITAF - , seuls les frais indispensables donnent droit à des dépens. Selon la doctrine et la jurisprudence, il faut entendre par frais indispensables les frais qui apparaissent comme nécessaires à une défense pertinente et efficace, eu égard aux circonstances du cas particulier (cf. notamment JAAC 68.156 consid. 4b, 66.3 consid. 5, 61.36 consid. 3.3 et réf. citées). L'indemnité allouée au titre d'honoraires ne peut dès lors s'étendre qu'aux frais encourus par la partie en rapport avec la procédure instruite devant l'autorité de recours. Sont considérés comme frais inutiles, tous les frais engagés pour des démarches n'ayant aucun rapport de causalité avec la solution adoptée par l'autorité administrative dans la décision consécutive au recours (Martin Bernet, Die Parteientschädigung in der schweizerischen Verwaltungsrechtspflege, Zurich 1986, p. 147). Tel est notamment le cas en l'espèce des correspondances adressées au Tribunal administratif vaudois dans le cadre de la procédure de recours en matière de police des étrangers et des autres opérations liées à cette procédure dont il est fait mention dans le décompte remis par le mandataire des recourants au TAF le 20 février 2007. Dans l'appréciation du temps qu'un avocat aurait raisonnablement consacré à la cause, le TAF tient en outre compte, au cas particulier, du fait qu'une partie importante du mémoire de recours reprend, même textuellement sur certains points, l'argumentation que le mandataire des intéressés avait déjà développée devant l'autorité de première instance. Tenant compte de l'ensemble des circonstances du cas, de l'importance de l'affaire, du degré de difficulté de cette dernière et de l'ampleur du travail que Me Gilles Monnier a accompli en sa qualité de mandataire en relation avec la présente procédure, le TAF estime, au regard des art. 8 et ss. FITAF, que le versement d'une indemnité à titre d'honoraires, s'élevant à Fr. 2'000.--,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