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C-1031/2012 vom 7. Mai 2014</w:t>
      </w:r>
    </w:p>
    <w:p>
      <w:r>
        <w:t>Bundesverwaltungsgericht, 2014-05-07, DE</w:t>
      </w:r>
    </w:p>
    <w:p>
      <w:r>
        <w:rPr>
          <w:b/>
        </w:rPr>
        <w:t xml:space="preserve">Quelle: </w:t>
      </w:r>
      <w:r>
        <w:t>https://mcp.opencaselaw.ch/entscheid/bvger_C-1031_2012</w:t>
      </w:r>
    </w:p>
    <w:p>
      <w:r>
        <w:t>FR: TAF C-1031/2012 du 7 mai 2014</w:t>
      </w:r>
    </w:p>
    <w:p>
      <w:r>
        <w:t>IT: TAF C-1031/2012 del 7 maggio 2014</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w:t>
      </w:r>
    </w:p>
    <w:p>
      <w:r>
        <w:rPr>
          <w:b/>
        </w:rPr>
        <w:t>E. 1.2</w:t>
      </w:r>
    </w:p>
    <w:p>
      <w:r>
        <w:t>Zu den beim Bundesverwaltungsgericht anfechtbaren Verfügungen gehören jene der Aufsichtsbehörden im Bereich der beruflichen Vorsorge nach Art. 74 Abs. 1 BVG, dies in Verbindung mit Art. 33 Bst. i VGG. Eine Ausnahme nach Art. 32 VGG liegt in casu nicht vor.</w:t>
      </w:r>
    </w:p>
    <w:p>
      <w:r>
        <w:rPr>
          <w:b/>
        </w:rPr>
        <w:t>E. 2.1</w:t>
      </w:r>
    </w:p>
    <w:p>
      <w:r>
        <w:t>Anfechtungsgegenstand des vorliegenden Verfahrens ist der Verwal-tungsakt der Vorinstanz vom 1. Februar 2012, welcher ohne Zweifel eine Verfügung im Sinne von Art. 5 VwVG darstellt.</w:t>
      </w:r>
    </w:p>
    <w:p>
      <w:r>
        <w:rPr>
          <w:b/>
        </w:rPr>
        <w:t>E. 2.2</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Diese (kumulativen) Kriterien sol-len die Popularbeschwerde ausschliessen und den Charakter des all-gemeinen Beschwerderechts als Instrument des Individualrechtsschutzes unterstreichen. Der Beschwerdeführer muss einen praktischen Nutzen aus einer allfälligen Aufhebung oder Änderung des angefochtenen Ent-scheids ziehen, das heisst, seine Situation muss durch den Ausgang des Verfahrens in relevanter Weise beeinflusst werden können (BGE 133 II 249 E. 1.3.1 mit Hinweisen).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BGE 135 II 172 E. 2.1; Urteil des BGer 2C_527/2007 vom 13. Mai 2008 E. 5.3; BVGE 2007/20 E. 2.4.1; Urteile des BVGer C-625/2009 vom 8. Mai 2012 E. 3.2.3; C-2399/2006 vom 6. Oktober 2009 E. 3.2.1; Vera Marantelli-Sonannini/Said Huber, in: Praxiskommentar VwVG, Waldmann/Weis-senberger [Hrsg.], 2009, Art. 48 N 10 f.). Wer nicht Destinatär der Stiftung ist und kein besonderes persönliches Interesse an der Verfolgung des Stiftungszwecks ausweisen kann, ist zur Beschwerdeführung nicht berechtigt (Urteil des BGer 9C_823/2011 vom 23. März 2012 E. 2.1 mit Hinweisen).</w:t>
      </w:r>
    </w:p>
    <w:p>
      <w:r>
        <w:rPr>
          <w:b/>
        </w:rPr>
        <w:t>E. 2.3</w:t>
      </w:r>
    </w:p>
    <w:p>
      <w:r>
        <w:t>Der Beschwerdeführer ist Versicherter bei der Beschwerdegegnerin und hat als solcher die Vorinstanz mittels Aufsichtsbeschwerde aufgefordert, gegen die Beschwerdegegnerin vorzugehen, da diese die Parität nach Art. 51 BVG verletzt habe (vgl. Sachverhalt C.a). Die Vorinstanz hat die Beschwerde behandelt und die darin gestellten Begehren abgewiesen, zunächst in Form eines schriftlichen Bescheides (vgl. C.d), sodann - auf Begehren des Beschwerdeführers - als anfechtbare Verfügung (vgl. D.b). Der Beschwerdeführer hat demzufolge an der Aufhebung bzw. Änderung der angefochtenen Verfügung ein schutzwürdiges Interesse und ist damit beschwerdebefugt, was im Übrigen auch von keiner Partei bestritten wird.</w:t>
      </w:r>
    </w:p>
    <w:p>
      <w:r>
        <w:rPr>
          <w:b/>
        </w:rPr>
        <w:t>E. 2.4</w:t>
      </w:r>
    </w:p>
    <w:p>
      <w:r>
        <w:t>Der Beschwerdeführer hat frist- und formgerecht Beschwerde erhoben (Art. 50 und 52 VwVG). Nachdem auch der eingeforderte Kostenvorschuss in der gesetzten Frist geleistet wurde, ist auf das ergriffene Rechtsmittel des Beschwerdeführers, unter Vorbehalt von Erwägung 8 hinten,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Behörden zwar die Voraussetzungen und Grenzen des ihnen zustehenden Ermessens beachten, sich aber von unsachlichen, dem Zweck der massgebenden Vorschriften fremden Erwägungen leiten lassen oder allgemeine Rechtsprinzipien wie das Willkürverbot, die Rechtsgleichheit, das Gebot von Treu und Glauben oder den Grundsatz der Verhältnismässigkeit verletzen. Ermessensüberschreitung liegt vor, wenn die Behörden Ermessen ausüben, wo das Gesetz kein oder nur ein geringes Ermessen einräumt. Ermessensunterschreitung ist gegeben, wenn sich die Behörde als gebunden erachtet, obwohl ihr das Gesetz einen ermessensspielraum einräumt; die Behörden können nicht auf die Ermessensausübung verzichten (Alfred Kölz/Isabelle Häner/Martin Bertschi, Verwaltungsverfahren und Verwaltungsrechtspflege des Bundes, 3. Aufl. 2013, Rz. 1037).</w:t>
      </w:r>
    </w:p>
    <w:p>
      <w:r>
        <w:rPr>
          <w:b/>
        </w:rPr>
        <w:t>E. 4.1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wurde die Aufsicht in der beruflichen Vorsorge neu organisiert und es sind neue Bestimmungen in Art. 61 ff. BVG aufgenommen worden. Übergangsbestimmungen zum anwendbaren Recht im Aufsichtsbereich enthält die Gesetzesänderung jedoch keine; dementsprechend gelangt das bis zum Zeitpunkt des angefochtenen Entscheids in Kraft stehende Recht zur Anwendung.</w:t>
      </w:r>
    </w:p>
    <w:p>
      <w:r>
        <w:rPr>
          <w:b/>
        </w:rPr>
        <w:t>E. 4.2</w:t>
      </w:r>
    </w:p>
    <w:p>
      <w:r>
        <w:t>Im vorliegenden Fall wurde das Vorverfahren mit der Aufsichtsbeschwerde vom 10. März 2011 eingeleitet, auf die bis 31. Dezember 2011 erfolgten Verfahrensschritte sind deshalb die bis 31. Dezember 2011 geltenden Art. 61 ff. BVG anwendbar. Demgegenüber datiert die vorliegend angefochtene Verfügung vom 1. Februar 2012, so dass für sie die Art. 61 ff BVG in der Fassung vom 19. März 2010 (AS 2011 3393, in Kraft seit 1. Januar 2012), die Verordnung über die Beaufsichtigung und Registrierung von Vorsorgeeinrichtungen (BVV 1, SR 831.435.1) in ihrer Fassung vom 10. und 22. Juni 2011 (AS 2011 3425, in Kraft seit 1. Januar 2012) und die Verordnung über die berufliche Alters-, Hinterlassenen- und Invalidenvorsorge (BVV 2, SR 831.441.1) in der Fassung vom 10. und 22. Juni 2011 (AS 2011 3435, in Kraft seit 1. Januar 2012) gelten. Demgegenüber bleiben die Aufgaben der Aufsichtsbehörde gemäss Art. 62 Abs. 1 Bst. a und d BVG unverändert, so dass die diesbezügliche Lehre und Praxis weiterhin unverändert Geltung haben bzw. übernommen werden können.</w:t>
      </w:r>
    </w:p>
    <w:p>
      <w:r>
        <w:rPr>
          <w:b/>
        </w:rPr>
        <w:t>E. 5.1</w:t>
      </w:r>
    </w:p>
    <w:p>
      <w:r>
        <w:t>Gemäss Art. 61 BVG in der seit 1. Januar 2012 geltenden Fassung bezeichnen die Kantone die zuständige Behörde für die Aufsicht über die Vorsorgeeinrichtungen sowie die Einrichtungen, die nach ihrem Zweck der beruflichen Vorsorge dienen, mit Sitz im Kantonsgebiet. Die Kantone können gemeinsame Aufsichtsregionen bilden und dafür eine Aufsichtsbehörde bezeichnen. Die Aufsichtsbehörde ist eine öffentlich-rechtliche Anstalt mit eigener Rechtspersönlichkeit. Sie unterliegt in ihrer Tätigkeit keinen Weisungen.</w:t>
      </w:r>
    </w:p>
    <w:p>
      <w:r>
        <w:rPr>
          <w:b/>
        </w:rPr>
        <w:t>E. 5.2</w:t>
      </w:r>
    </w:p>
    <w:p>
      <w:r>
        <w:t>Gemäss Art. 62 Abs. 1 BVG wacht die Aufsichtsbehörde darüber, dass die Vorsorgeeinrichtungen und die Einrichtungen, die der beruflichen Vorsorge dienen, die gesetzlichen Vorschriften einhalten und dass das Vorsorgevermögen zweckgemäss verwendet wird. Gemäss Art. 62 Abs. 1 Bst. d BVG ist die Aufsichtsbehörde befugt, Massnahmen zur Behebung von Mängeln zu treffen. Hierzu stehen ihr repressive und präventive Aufsichtsmittel zur Verfügung. Mittels des repressiven Handelns soll der rechtmässige Zustand wieder hergestellt werden, während die präventiven Mittel darauf ausgelegt sind,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1996, S. 63 ff.; Christina Ruggli, Die behördliche Aufsicht über Vorsorgeeinrichtungen,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(Vetter-Schreiber, a.a.O., S. 33 f; Carl Helbling, Personalvorsorge und BVG, 8. Aufl.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2006, § 2 Rz. 98, S. 62 mit Hinweisen auf die bundesgerichtliche Rechtsprechung, vgl. auch Brühwiler, a.a.O., S. 2019 Rz. 51).</w:t>
      </w:r>
    </w:p>
    <w:p>
      <w:r>
        <w:rPr>
          <w:b/>
        </w:rPr>
        <w:t>E. 5.3</w:t>
      </w:r>
    </w:p>
    <w:p>
      <w:r>
        <w:t>An diese Behörde kann jedermann - ohne näher umschriebenes persönliches Interesse - mittels Aufsichtsanzeige (Aufsichtsbeschwerde im eigentlichen Sinn) gestützt auf Art. 84 Abs. 2 ZGB jederzeit gegen Handlungen und Unterlassungen des Stiftungsrates eine Anzeige deponieren. Die Aufsichtsbehörde hat auf Grund von Art. 84 Abs. 2 ZGB zumindest die Pflicht, den mitgeteilten Tatsachen nachzugehen und allfällige Massnahmen von Amtes wegen zu ergreifen (Urteil des BGer 9C_823/2011 vom 23. März 2012 E. 2.2). Demgegenüber ist die Beschwerde nach Art. 61 ff. BVG ein vollwertiges, förmliches Rechtsmittel, das dem Einzelnen einen Anspruch auf einen Entscheid einräumt. Zur Aufsichtsbeschwerde ist legitimiert, wer ein rechtlich schützenswertes Interesse am Tätigwerden der Aufsichtsbehörde hat, so - wie bereits erwähnt (vgl. vorne 2.2) - insbesondere tatsächliche und potentielle Destinatäre (zum Ganzen vgl. BGE 119 V 195 E. 3b/aa; 112 Ia 180 E. 3d mit Hinweisen; Vetter-Schreiber, a.a.O., S. 52-53; Riemer, Riemer-Kafka, a.a.O., S. 164).</w:t>
      </w:r>
    </w:p>
    <w:p>
      <w:r>
        <w:rPr>
          <w:b/>
        </w:rPr>
        <w:t>E. 5.4</w:t>
      </w:r>
    </w:p>
    <w:p>
      <w:r>
        <w:t>Im letzteren Sinne gelangte der Beschwerdeführer, der wie erwähnt bei der Beschwerdegegnerin versichert ist, mit seiner Aufsichtsbeschwerde vom 10. März 2011 an die Vorinstanz und beantragte, sie habe gegen die Pensionskasse aufsichtsrechtlich einzuschreiten. Streitig und nachfolgend zu prüfen ist, ob die entsprechende Verfügung der Vorinstanz rechtens ist.</w:t>
      </w:r>
    </w:p>
    <w:p>
      <w:r>
        <w:rPr>
          <w:b/>
        </w:rPr>
        <w:t>E. 6.1</w:t>
      </w:r>
    </w:p>
    <w:p>
      <w:r>
        <w:t>In formeller Hinsicht rügt der Beschwerdeführer, die Vorinstanz habe sich mit seinen Vorbringen nur unvollständig auseinandergesetzt, so hinsichtlich der Stellung des Gemeindeschreibers im Rahmen der Gemeindeorganisation wie auch hinsichtlich der Wahl des Präsidiums der Verwaltungskommission der Beschwerdegegnerin (vgl. Beschwerde S. 5).</w:t>
      </w:r>
    </w:p>
    <w:p>
      <w:r>
        <w:rPr>
          <w:b/>
        </w:rPr>
        <w:t>E. 6.2</w:t>
      </w:r>
    </w:p>
    <w:p>
      <w:r>
        <w:t>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sie soll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(BVGE 2007/27 E. 5.5.2 und BGE 133 I 270 E. 3.1 S. 277 je mit Hinweisen, sowie Felix Uhlmann/Alexandra Schwank, in: Waldmann/Weissenberger [Hrsg.], Praxiskommentar VwVG, 2009, N 17 ff. zu Art. 35; ebenso Lorenz Kneubühler, in: Auer/Müller/Schindler [Hrsg.], Kommentar zum Bundesgesetz über das Verwaltungsverfahren [VwVG], 2008, Rz. 4 ff. zu Art. 35 VwVG).</w:t>
      </w:r>
    </w:p>
    <w:p>
      <w:r>
        <w:rPr>
          <w:b/>
        </w:rPr>
        <w:t>E. 6.3</w:t>
      </w:r>
    </w:p>
    <w:p>
      <w:r>
        <w:t>Die Vorinstanz hat ihre angefochtene Verfügung eingehend begründet. Dabei hat sie sich mit den wesentlichen Vorbringen des Beschwerdeführers in Erwägung 2 hinsichtlich der Zusammensetzung der Verwaltungskommission und in Erwägung 3 hinsichtlich des Vorsitzes der Verwaltungskommission auseinandergesetzt und dargelegt, weshalb sie seinen Anträgen nicht folgte. Die Rüge des Beschwerdeführers erweist sich daher als unbegründet.</w:t>
      </w:r>
    </w:p>
    <w:p>
      <w:r>
        <w:rPr>
          <w:b/>
        </w:rPr>
        <w:t>E. 6.4</w:t>
      </w:r>
    </w:p>
    <w:p>
      <w:r>
        <w:t>Der Beschwerdeführer rügt im Weiteren, es könne nicht von einer unabhängigen und unbefangenen Beurteilung seiner Anliegen ausgegangen werden, da der für die Behandlung der Aufsichtsbeschwerde zuständige Sachbearbeiter sich nach wie vor mit dem Dossier und den Reglementen der Pensionskasse befasse, eine Kritik an den genehmigten Reglementen sei gleichbedeutend mit einer Kritik an seiner bisherigen Arbeit (vgl. Beschwerde S. 5).</w:t>
      </w:r>
    </w:p>
    <w:p>
      <w:r>
        <w:rPr>
          <w:b/>
        </w:rPr>
        <w:t>E. 6.5</w:t>
      </w:r>
    </w:p>
    <w:p>
      <w:r>
        <w:t>Dem kann nicht gefolgt werden. Wie sich die Aufsichtsbehörde intern organisiert, ist ihr überlassen; das Gesetz macht diesbezüglich keine Vorschriften (vgl. Urteile des BVGer C-3721/2009 und C-3735/2009 vom 11. Januar 2013 E. 10.3). Im Briefkopf der Vorinstanz wird Y._______ als zuständige Kontaktperson aufgeführt, wobei gegen diesen keine Ausstandsgründe ersichtlich sind. Demgegenüber sind die angefochtene Verfügung vom 1. Februar 2012 wie auch die Rechtsschriften vom Leiter der Vorinstanz unterzeichnet worden (act. 1/5, 9, 13, 24). Damit hat nicht der dossierverantwortliche Sachbearbeiter sondern dessen Vorgesetzter rechtsverbindlich über die Aufsichtsbeschwerde entschieden. Auch diese Rüge ist daher unbegründet.</w:t>
      </w:r>
    </w:p>
    <w:p>
      <w:r>
        <w:rPr>
          <w:b/>
        </w:rPr>
        <w:t>E. 7</w:t>
      </w:r>
    </w:p>
    <w:p>
      <w:r>
        <w:t>In materieller Hinsicht rügt der Beschwerdeführer zunächst die seiner Ansicht nach fehlerhafte Zusammensetzung der Verwaltungskommission der Pensionskasse, indem B._______ mit ihrer Wahl an der ausserordentlichen Hauptversdammlung zu Unrecht in der Funktion als Arbeitnehmervertreterin Einsitz in die Verwaltungskommission genommen habe, in Wirklichkeit sei sie als Arbeitgebervertreterin zu qualifizieren.</w:t>
      </w:r>
    </w:p>
    <w:p>
      <w:r>
        <w:rPr>
          <w:b/>
        </w:rPr>
        <w:t>E. 7.1</w:t>
      </w:r>
    </w:p>
    <w:p>
      <w:r>
        <w:t>Gemäss Art. 51 Abs. 3 Satz 1 BVG wählen die Versicherten ihre Vertreter unmittelbar oder durch Delegierte. Im vorliegenden Fall werden bei der Beschwerdegegnerin die Arbeitnehmervertreter von der Hauptversammlung gewählt (Art. 18 des Pensionskassenreglements [act. 6/4]). Die Hauptversammlung besteht aus den Arbeitnehmenden und den Beziehenden von Alters- und Invalidenrenten (Art. 20 des Pensionskassenreglements). Laut dem Protokollauszug der ausserordentlichen Hauptversammlung vom 23. Februar 2011 (act. 16/1) mussten aufgrund der Verselbstständigung der Pensionskasse die Arbeitnehmervertreter der Verwaltungskommission durch die Hauptversammlung bestätigt werden. Unter ihnen figurierte auch B._______, welche in der Gemeindeverwaltung Köniz das Amt als Gemeindeschreiberin ausübte und von der Hauptversammlung als Arbeitnehmervertreterin bestätigt wurde. Bestritten ist, ob B._______ in ihrer Funktion als Gemeindeschreiberin von Z._______ als Arbeitnehmervertreterin in der Verwaltungskommission wählbar war.</w:t>
      </w:r>
    </w:p>
    <w:p>
      <w:r>
        <w:rPr>
          <w:b/>
        </w:rPr>
        <w:t>E. 7.2</w:t>
      </w:r>
    </w:p>
    <w:p>
      <w:r>
        <w:t>Nach den Angaben der Beschwerdegegnerin (act. 34) blieb B._______ trotz Beendigung ihres Arbeitsverhältnisses mit der Gemeinde Köniz "extern" bei der Pensionskasse versichert und war bis zum 31. Januar 2014 als Arbeitnehmervertreterin in der Verwaltungskommission. Für die Amtsperiode vom 1. Februar 2014 bis 31. Januar 2018 wurden an der Hauptversammlung vom 13. Juni 2013 der Nachfolger von B._______ und noch ein weiterer Arbeitnehmervertreter in die Verwaltungskommission gewählt. Sowohl diese zwei neuen wie auch die zwei verbliebenen Arbeitnehmervertreter sind nicht Gemeindeschreiber von Z._______; vielmehr wird dieses Amt seit dem 1. April 2013 durch C._______ besetzt (vgl. http://www.z._______ besucht am 24. Februar 2014). C._______ seinerseits ist nicht Mitglied der Verwaltungskommission, was den Akten entnommen werden kann (Auszug aus dem Handelsregister sowie Angaben der Beschwerdegegnerin in act. 34).</w:t>
      </w:r>
    </w:p>
    <w:p>
      <w:r>
        <w:rPr>
          <w:b/>
        </w:rPr>
        <w:t>E. 7.3</w:t>
      </w:r>
    </w:p>
    <w:p>
      <w:r>
        <w:t>Damit ist seit dem 1. April 2013 - dem Zeitpunkt, an dem C._______ anstelle von B._______ als Gemeindeschreiber von Z._______ angestellt ist - kein Gemeindeschreiber mehr in der Verwaltungskommission der Beschwerdegegnerin vertreten. Die vom Beschwerdeführer im Zeitpunkt der angefochtenen Verfügung vom 1. Februar 2012 gerügte Besetzung der Verwaltungskommission besteht demzufolge seit dem 1. April 2013 nicht mehr. Damit ist zu prüfen, ob das im Zeitpunkt der Beschwerdeeinreichung bestehende Rechtsschutzinteresse des Beschwerdeführers noch besteht.</w:t>
      </w:r>
    </w:p>
    <w:p>
      <w:r>
        <w:rPr>
          <w:b/>
        </w:rPr>
        <w:t>E. 7.4</w:t>
      </w:r>
    </w:p>
    <w:p>
      <w:r>
        <w:t>Das relevante Interesse muss im Allgemeinen nicht bloss bei Einreichung der Beschwerde, sondern auch noch im Zeitpunkt der Urteilsfällung bestehen (vgl. BGE 128 II 34 E. 1b, 111 Ib 56 E. 2a). Fällt das aktuelle Rechtsschutzinteresse nach Einreichen des Rechtsmittels dahin, ist das Verfahren grundsätzlich infolge Gegenstandslosigkeit abzuschreiben (BGE 137 I 23 E. 1.3.1 mit Hinweisen; Kölz/Häner/ Bertschi, a.a.O., Rz. 696; André Moser/Michael Beusch/Lorenz Kneubühler, Prozessieren vor dem Bundesverwaltungsgericht, 2008, S. 184 f. Rz. 3.206; Philippe Weissenberger, Kommentar zu Art. 61 VwVG, in: Bernhard Waldmann/Philippe Weissenberger [Hrsg.], Praxiskommentar zum Bundesgesetz über das Verwaltungsverfahren, 2009, S. 1205 Rz. 4; BGE 118 Ib 1 E. 2). Das Rechtsschutzinteresse fehlt insbesondere auch dann, wenn die dem Rechtsstreit zugrunde liegende Sache untergeht (Moser/Beusch/Kneubühler, a.a.O., S. 185 Rz. 3.209; Weissenberger, a.a.O., S. 1205 Rz. 4).</w:t>
      </w:r>
    </w:p>
    <w:p>
      <w:r>
        <w:rPr>
          <w:b/>
        </w:rPr>
        <w:t>E. 7.5</w:t>
      </w:r>
    </w:p>
    <w:p>
      <w:r>
        <w:t>Dass die beschwerdeweise gerügte Zusammensetzung der Verwaltungskommission derzeit nicht mehr vorliegt, bestreitet der Beschwerdeführer nicht. In seiner Stellungnahme vom 14. Dezember 2012 (act. 22) macht er gleichwohl geltend, die Frage nach der Wählbarkeit eines Gemeindeschreibers als Arbeitnehmervertreter stelle sich unabhängig von einer bestimmten Person und gelte für jeden Amtsnachfolger und für jeden ähnlichen Fall; es sei für alle Beteiligten von Nutzen, wenn im Bereich der öffentlichen Verwaltung Klarheit geschaffen werde.</w:t>
      </w:r>
    </w:p>
    <w:p>
      <w:r>
        <w:rPr>
          <w:b/>
        </w:rPr>
        <w:t>E. 7.5.1</w:t>
      </w:r>
    </w:p>
    <w:p>
      <w:r>
        <w:t>Ausnahmsweise kann auf das Erfordernis eines aktuellen, praktischen Interesses verzichtet werden, wenn sich die aufgeworfenen Fragen jeweils unter gleichen oder ähnlichen Umständen wieder stellen könnten, wenn an ihrer Beantwortung angesichts ihrer grundsätzlichen Bedeutung ein hinreichendes öffentliches Interesse besteht und wenn eine rechtzeitige richterliche Prüfung im Einzelfall kaum je stattfinden könnte (vgl. BGE 131 II 670 E. 1.2; 128 II 34 E. 1b; 127 I 164 E. 1a; 126 I 250 E. 1b; 125 I 394 E. 4b; 111 Ib 182 E. 2c; 111 Ib 56 E. 2a). Nachfolgend ist zu prüfen, ob diese Voraussetzungen bezüglich der Frage nach der Wählbarkeit eines Gemeindeschreibers als Arbeitnehmervertreter in das paritätische Organ der Vorsorgeeinrichtung einer Gemeinde (Art. 51 Abs. 5 BVG) erfüllt sind, insbesondere ob sich diese Frage unter gleichen oder ähnlichen Umständen wieder stellen könnte.</w:t>
      </w:r>
    </w:p>
    <w:p>
      <w:r>
        <w:rPr>
          <w:b/>
        </w:rPr>
        <w:t>E. 7.5.2</w:t>
      </w:r>
    </w:p>
    <w:p>
      <w:r>
        <w:t>Die Vorsorgeeinrichtungen - darunter fallen auch die öffentlich-rechtlichen - sind bei der Regelung der paritätischen Verwaltung im Rahmen von Art. 51 BVG frei. Handelt es sich, wie vorliegend, um die Vorsorgeeinrichtung einer Gemeinde, kann die Frage der Wählbarkeit einer Gemeindeschreiberin als Arbeitnehmervertreterin in der paritätischen Verwaltungskommission nicht generell beantwortet werden, wie auch die Vorinstanz und die Beschwerdegegnerin überzeugend darlegen. Vielmehr ist der konkrete Einzelfall zu prüfen. Zu beachten sind die jeweiligen Gemeindestrukturen, Gemeindeordnungen, die Grösse der Gemeinde - je grösser die Gemeinde, je eher hat der Gemeindeschreiber Arbeitnehmerstatus - etc. In diesem Sinne schafft eine Beurteilung der (hier unstreitig nicht mehr aktuellen) Ämterkombination, entgegen der Auffassung des Beschwerdeführers, keine Klarheit in der öffentlichen Verwaltung, und insofern kann daran auch kein hinreichendes öffentliches Interesse bestehen. Ferner ist auch nicht davon auszugehen, dass eine rechtzeitige richterliche Prüfung im Einzelfall kaum je stattfinden könnte. Damit ist es im vorliegenden Fall nicht gerechtfertigt, vom Grundsatz des Erfordernisses eines aktuellen und praktischen Interesses abzuweichen.</w:t>
      </w:r>
    </w:p>
    <w:p>
      <w:r>
        <w:rPr>
          <w:b/>
        </w:rPr>
        <w:t>E. 7.6</w:t>
      </w:r>
    </w:p>
    <w:p>
      <w:r>
        <w:t>Nach dem Gesagten ist das Rechtsschutzinteresse des Beschwerdeführers an der Beurteilung der Rechtmässigkeit der Zusammensetzung der Verwaltungskommission des Vorsorgewerks dahingefallen. Insoweit ist das Verfahrens wegen Gegenstandslosigkeit abzuschreiben.</w:t>
      </w:r>
    </w:p>
    <w:p>
      <w:r>
        <w:rPr>
          <w:b/>
        </w:rPr>
        <w:t>E. 8.1</w:t>
      </w:r>
    </w:p>
    <w:p>
      <w:r>
        <w:t>Der Beschwerdeführer rügt die seiner Ansicht nach rechtsfehlerhafte Besetzung des Vorsitzes der Verwaltungskommission nach dem Pensionskassenreglement. Nach seinem Dafürhalten führt die Regelung in Art. 17 Abs. 3 des Pensionskassenreglements, wonach die Leitung an eine nicht bei der Pensionskasse versicherte Person zu übertragen ist, zu einer doppelten Benachteiligung der Arbeitnehmerseite: einerseits, indem die Arbeitnehmer gezwungen sind, ein externes Mitglied zu wählen und dann nur dieses externe Mitglied das Präsidium innehaben kann, und andererseits, indem nicht die Verwaltungskommission und mithin die Arbeitnehmervertreter das Präsidium bestimmen. Dies stehe nicht im Einklang mit Art. 51 Abs. 3 BVG.</w:t>
      </w:r>
    </w:p>
    <w:p>
      <w:r>
        <w:rPr>
          <w:b/>
        </w:rPr>
        <w:t>E. 8.2</w:t>
      </w:r>
    </w:p>
    <w:p>
      <w:r>
        <w:t>Gemäss Art. 62 Abs. 1 Bst. a BVG prüft die Aufsichtsbehörde, ob die statutarischen und reglementarischen Bestimmungen der Vorsorgeeinrichtungen und der Einrichtungen, die nach ihrem Zweck der beruflichen Vorsorge dienen, mit den gesetzlichen Vorschriften übereinstimmen. Handelt es sich bei den beaufsichtigten Vorsorgeeinrichtungen um öffentlich-rechtliche Einrichtungen, übernimmt die Aufsichtsbehörde auch die abstrakte Normenkontrolle von öffentlich-rechtlichen Erlassen, die von den zuständigen legislativen oder exekutiven Behörden als reglementarische Vorschriften öffentlich-rechtlicher Vorsorgeeinrichtungen ergangen sind (vgl. BGE 139 V 72 E. 2.1 mit Hinweisen).</w:t>
      </w:r>
    </w:p>
    <w:p>
      <w:r>
        <w:rPr>
          <w:b/>
        </w:rPr>
        <w:t>E. 8.3</w:t>
      </w:r>
    </w:p>
    <w:p>
      <w:r>
        <w:t>Die Prüfung, ob eine Norm mit dem höherrangigen Recht übereinstimmt, wird als Normenkontrolle bezeichnet (René Rhinow/Heinrich Koller/Christina Kiss/Daniela Thurnherr/Denise Brühl-Moser, Öffentliches Prozessrecht, 2. Auflage 2010, Rz. 703). Die abstrakte Normenkontrolle ist die Prüfung der Gültigkeit einer Norm in einem besonderen Verfahren, unabhängig von einer konkreten Anwendung. Das Verfahren der Beschwerde an das Bundesverwaltungsgericht ist wie die Beschwerde in öffentlich-rechtlichen Angelegenheiten (bzw. die frühere Verwaltungsgerichtsbeschwerde) auf den individuellen Rechtsschutz ausgerichtet und kennt grundsätzlich keine abstrakte Normenkontrolle (vgl. Art. 5 VwVG in Verb. mit Art. 31 VGG bzw. Art. 82 Bst. a BGG; BGE 128 II 36; 121 II 473 E. 2b S. 478; 112 Ia 180 E. 2c S. 185 f. mit Hinweisen; Urteile des BVGer C-7604/2006 und C-627/2007 vom 10. Juli 2007 E. 9). Im Verfahren vor Bundesverwaltungsgericht ebenso wie im verwaltungsinternen Beschwerdeverfahren ist nur die konkrete (akzessorische, inzidente, vorfrageweise) Normenkontrolle vorgesehen, d.h. die vorfrageweise Überprüfung einer Norm, deren Anwendung auf den konkreten Einzelfall infrage steht, auf ihre Rechtmässigkeit (Kölz/Häner/Bertschi, a.a.O., Rz. 1062; Urteil des BVGer A-121/2013 vom 17. Dezember 2013 E. 3.1).</w:t>
      </w:r>
    </w:p>
    <w:p>
      <w:r>
        <w:rPr>
          <w:b/>
        </w:rPr>
        <w:t>E. 8.4</w:t>
      </w:r>
    </w:p>
    <w:p>
      <w:r>
        <w:t>Streitgegenstand im vorliegenden Verfahren ist indes nicht die Frage nach der Übereinstimmung des Pensionskassenreglements der Beschwerdegegnerin mit den gesetzlichen Vorschriften des BVG im Sinne einer abstrakten Normenkontrolle. Vielmehr kann die Rüge, Art. 17 des Pensionskassenreglements stimme nicht mit Art. 51 BVG überein, höchstens vorfrageweise zu einem konkreten, den Beschwerdeführer berührenden Anwendungsfall geprüft werden. Ein solcher ist vorliegend jedoch nicht auszumachen. Der Beschwerdeführer hat weder an den fraglichen Bestätigungswahlen der Verwaltungskommission anlässlich der aussordentlichen Hauptversammlung vom 23. Februar 2011 als Kandidat für den Vorsitz oder für eine Mitgliedschaft als Arbeitgeber- oder Arbeitnehmervertreter teilgenommen, noch ist aktenkundig oder wird vom Beschwerdeführer geltend gemacht, bei einer später durchgeführten Wahl kandidiert zu haben. Damit ist er von der Wahl nicht mehr betroffen als jeder andere wahlberechtigte Destinatär oder Rentenbeziehende. Dies räumt der Beschwerdeführer denn auch ein, indem er geltend macht: "(...) wird mir auch nach einer (theoretisch möglichen) Wahl als Mitglied der Verwaltungskommission verwehrt, mich als Präsident der Verwaltungskommission zur Wahl zu stellen." (S. 1 der Beschwerdeschrift).</w:t>
      </w:r>
    </w:p>
    <w:p>
      <w:r>
        <w:rPr>
          <w:b/>
        </w:rPr>
        <w:t>E. 8.5</w:t>
      </w:r>
    </w:p>
    <w:p>
      <w:r>
        <w:t>Nachdem ein konkreter Anwendungsfall nach dem Gesagten nicht vorliegt, kann eine vorfrageweise Prüfung der Übereinstimmung der fraglichen Reglementsbestimmung mit dem BVG im Sinne des Beschwerdeführers nicht vorgenommen werden. Insoweit ist auf die Beschwerde nicht einzutreten.</w:t>
      </w:r>
    </w:p>
    <w:p>
      <w:r>
        <w:rPr>
          <w:b/>
        </w:rPr>
        <w:t>E. 9.1</w:t>
      </w:r>
    </w:p>
    <w:p>
      <w:r>
        <w:t>Der Beschwerdeführer rügt in seiner Replik die Kostenauferlegung der Vorinstanz für die angefochtene Verfügung. Er beantragt, die Kostenauflage der Vorinstanz von Fr. 700.- sei zu annullieren. Als Begründung führt der Beschwerdeführer im Wesentlichen an, die Vorinstanz wäre verpflichtet gewesen, ihn über die anstehenden Kosten zu informieren, wobei diese zu hoch seien, weil die Verfügung keinen Mehraufwand verursacht habe. Im Bereich der Sozialversicherungen werde meist auf die Erhebung von Kosten verzichtet, insbesondere wenn es sich wie vorliegend nicht um wirtschaftliche Interessen handle. Er habe deshalb in gutem Glauben von einer Kostenfreiheit ausgehen dürfen. Demgegenüber begründet die Vorinstanz die Auferlegung der Kosten mit dem Gebührenreglement vom 21. Oktober 2011 der Bernischen BVG- und Stiftungsaufsicht, welches vorliegend anzuwenden sei, wobei - gestützt auf die kantonale Gebührenverordnung vom 22. Februar 1995 - auch eine früher erfolgte Verfügung hätte verrechnet werden müssen. Sie habe dem Beschwerdeführer im Dezember 2011 bewusst nicht in der Form einer Verfügung geantwortet, um ihm die Verfügungskosten zu ersparen. Er jedoch habe ausdrücklich eine anfechtbare Verfügung verlangt, weshalb sie ihm die entsprechenden Kosten verrechnet habe. Dazu sei sie gesetzlich verpflichtet. Dass sie eine diesbezügliche Informationspflicht habe, müsse der Beschwerdeführer belegen, was er jedoch nicht getan habe.</w:t>
      </w:r>
    </w:p>
    <w:p>
      <w:r>
        <w:rPr>
          <w:b/>
        </w:rPr>
        <w:t>E. 9.2</w:t>
      </w:r>
    </w:p>
    <w:p>
      <w:r>
        <w:t>Gemäss Art. 2 Abs. 1 des Gebührenreglements der Bernischen BVG- und Stiftungsaufsicht (act. 9/7) erhebt die BBSA für ihre Dienstleistungen Gebühren. Gemäss Art. 2 Abs. 2 werden die Gebühren bei Rechnungsstellung oder Eröffnung der Verfügung fällig. Gemäss Art. 3 gelten als Dienstleistungen insbesondere der Erlass von Verfügungen (Bst. a) und Abklärungen im Zusammenhang mit aufsichtsrechtlichen Eingaben (Bst. b). In Art. 4 wird die Höhe der Gebühren geregelt. Nach Abs. 3 dieser Bestimmung bemisst sich die Gebühr für Dienstleistungen, für die im Anhang kein Tarif oder Tarifrahmen festgelegt ist, nach Zeitaufwand, während nach Abs. 4 der Stundenansatz für die Gebühren je nach Funktionsstufe der ausführenden Person zwischen 100 und 200 Franken beträgt. Dieses Gebührenreglement ist auf der Internetseite der Vorinstanz (BBSA, Vorsorgeeinrichtungen, Rechtliche Grundlagen) unter http://www.sta.be.ch/belex/d/BAG-pdf/BAG_11-119.pdf abrufbar.</w:t>
      </w:r>
    </w:p>
    <w:p>
      <w:r>
        <w:rPr>
          <w:b/>
        </w:rPr>
        <w:t>E. 9.3</w:t>
      </w:r>
    </w:p>
    <w:p>
      <w:r>
        <w:t>Die von der Vorinstanz verfügte Kostenauferlegung zulasten des Beschwerdeführers hat somit hinsichtlich Bestand wie auch betragsmässig eine Rechtsgrundlage. Durch die Aufschaltung im Internet ist sie für Personen, welche Zugang zum Internet haben, jederzeit einsehbar. Dass die Dienstleistungen einer Behörde grundsätzlich gebührenpflichtig sind, ist zu erwarten und es lässt sich nichts dagegen einwenden. Dem Beschwerdeführer ist jedenfalls nicht zu folgen, wenn er eine explizite Vorinformation durch die Vorinstanz über die Kosten für den von ihm geforderten Verfügungserlass fordert. Inwiefern im Übrigen die Erhebung eines Kostenvorschusses für den Erlass der Verfügung etwas geändert hätte, ist nicht ersichtlich, zumal bei Abweisung seiner Aufsichtsbeschwerde - und davon musste der Beschwerdeführer aufgrund des Bescheides vom 16. Dezember 2011 ausgehen - der betreffende Betrag von der verfügenden Vorinstanz zur Deckung ihrer Verfahrenskosten herangezogen worden wäre. Die im Bereich der beruflichen Vorsorge grundsätzlich kostenfreien Verfahren sind diejenigen, welche gemäss Art. 73 BVG vor den kantonalen Sozialversicherungsgerichten stattfinden, sowie die Verfahren vor der Aufsichtsbehörde gemäss Art. 62 Abs. 1 Bst. e BVG. Beides trifft auf das vorliegende Verfahren nicht zu. Entsprechend besteht für die Vorinstanz keine gesetzliche Grundlage, auf die Erhebung von Verfahrenskosten zu verzichten. Insoweit erweist sich die Rüge des Beschwerdeführers als unbegründet.</w:t>
      </w:r>
    </w:p>
    <w:p>
      <w:r>
        <w:rPr>
          <w:b/>
        </w:rPr>
        <w:t>E. 10</w:t>
      </w:r>
    </w:p>
    <w:p>
      <w:r>
        <w:t>Zu befinden bleibt über die Verfahrenskosten und eine Parteientschädigung.</w:t>
      </w:r>
    </w:p>
    <w:p>
      <w:r>
        <w:rPr>
          <w:b/>
        </w:rPr>
        <w:t>E. 10.1</w:t>
      </w:r>
    </w:p>
    <w:p>
      <w:r>
        <w:t>Die Verfahrenskosten bestimmen sich nach dem Reglement vom 21. Februar 2008 über die Kosten und Entschädigungen vor dem Bundesverwaltungsgericht (VGKE, SR 173.320.2). Sie werden gesamthaft auf Fr. 3'000.- festgesetzt und der unterliegenden Partei auferlegt (Art. 63 Abs. 1 VwVG). Bei Gegenstandlosigkeit werden sie in der Regel jener Partei auferlegt, deren Verhalten die Gegenstandslosigkeit bewirkt hat (Art. 5 VGKE). Nach dem Ausgang des Verfahrens wird der Beschwerdeführer im Verhältnis seines Unterliegens kostenpflichtig. Insoweit das Verfahren wegen Gegenstandslosigkeit abzuschreiben ist und diese durch keine der Parteien bewirkt wurde, und da sich auch der mutmassliche Ausgang des Verfahrens nicht abschätzen liess, sind dem Beschwerdeführer die Verfahrenskosten zu ermässigen. Sie werden ihm im Umfang von Fr. 2'000.- auferlegt. Der Beschwerdeführer beantragt, es seien ihm für den Fall des Unterliegens oder nur teilweisen Obsiegens die Verfahrenskosten zu erlassen oder zu reduzieren. Nachdem der Beschwerdeführer, soweit das Verfahren nicht wegen Gegenstandslosigkeit abgeschrieben wird, vollumfänglich unterliegt, ist eine weitere Ermässigung der Verfahrenskosten nicht gerechtfertigt (Art. 63 Abs. 1 Satz 2 VwVG e contrario). Auch für einen Verzicht auf Verfahrenskosten sind vorliegend keine Gründe erkennbar. Weder konnte das Verfahren ohne erheblichen Aufwand für das Gericht durch Rückzug oder Vergleich erledigt werden (Art. 6 Bst. a VGKE), noch ergeben sich andere Gründe in der Sache oder in der Person des Beschwerdeführers, die es als unverhältnismässig erscheinen liessen, ihm die Verfahrenskosten aufzuerlegen (Art. 6 Bst. b VGKE). Dass insbesondere der Beschwerdeführer, wie er geltend macht, durch das Verhalten der Vorinstanz zur Beschwerde an das Bundesverwaltungsgericht veranlasst worden wäre, ist vorliegend weder aktenkundig, noch wurde es dargetan. Dem Beschwerdeführer sind demzufolge die reduzierten Verfahrenskosten von Fr. 2'000.- aufzuerlegen. Sie werden mit dem von ihm am 23. März 2012 geleisteten Kostenvorschuss von Fr. 3'000.- verrechnet. Der Restbetrag ist ihm nach Rechtskraft des vorliegenden Urteils zurückzuerstatten. Der obsiegenden Beschwerdegegnerin sind keine Verfahrenskosten aufzuerlegen (Art. 63 Abs. 1 VwVG e contrario). Der obsiegenden Vorinstanz sind ebenfalls keine Verfahrenskosten aufzuerlegen (Art. 63 Abs. 2 VwVG).</w:t>
      </w:r>
    </w:p>
    <w:p>
      <w:r>
        <w:rPr>
          <w:b/>
        </w:rPr>
        <w:t>E. 10.2</w:t>
      </w:r>
    </w:p>
    <w:p>
      <w:r>
        <w:t>Gemäss Art. 64 Abs. 1 VwVG kann die Beschwerdeinstanz der ganz oder teilweise obsiegenden Partei von Amtes wegen oder auf Begehren eine Entschädigung für ihr erwachsene Kosten zugesprochen werden. Die obsiegende Beschwerdegegnerin hat als Trägerin der beruflichen Vorsorge praxisgemäss jedoch keinen Anspruch auf Parteientschädigung. Die Vorinstanz hat als verfügende Behörde keinen Anspruch auf Parteientschädigung (Art. 7 Abs. 3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