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C-1015/2014 vom 21. Juli 2014</w:t>
      </w:r>
    </w:p>
    <w:p>
      <w:r>
        <w:t>Bundesverwaltungsgericht, 2014-07-21, IT</w:t>
      </w:r>
    </w:p>
    <w:p>
      <w:r>
        <w:rPr>
          <w:b/>
        </w:rPr>
        <w:t xml:space="preserve">Quelle: </w:t>
      </w:r>
      <w:r>
        <w:t>https://mcp.opencaselaw.ch/entscheid/bvger_C-1015_2014</w:t>
      </w:r>
    </w:p>
    <w:p>
      <w:r>
        <w:t>FR: TAF C-1015/2014 du 21 juillet 2014</w:t>
      </w:r>
    </w:p>
    <w:p>
      <w:r>
        <w:t>IT: TAF C-1015/2014 del 21 luglio 2014</w:t>
      </w:r>
    </w:p>
    <w:p>
      <w:pPr>
        <w:pStyle w:val="Heading2"/>
      </w:pPr>
      <w:r>
        <w:t>Regeste</w:t>
      </w:r>
    </w:p>
    <w:p>
      <w:r>
        <w:t>Periodo del contributo minimo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di principio ammissibile.</w:t>
      </w:r>
    </w:p>
    <w:p>
      <w:r>
        <w:rPr>
          <w:b/>
        </w:rPr>
        <w:t>E. 2.1</w:t>
      </w:r>
    </w:p>
    <w:p>
      <w:r>
        <w:t>Il ricorrente è cittadino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3</w:t>
      </w:r>
    </w:p>
    <w:p>
      <w:r>
        <w:t>L'oggetto litigioso della presente procedura ricorsuale è la durata contributiva dell'insorgente nel 1967.</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Per ogni assicurato obbligato a pagare i contributi, è tenuto un conto individuale, sul quale sono annotate le indicazioni necessarie al calcolo delle rendite ordinarie (art. 30ter cpv. 1 LAVS). L'art. 140 cpv. 1 lett. d ed e OAVS (RS 831.101) stabilisce che la registrazione nel conto individuale dell'assicurato comprende l'anno di contribuzione e la durata contributiva in mesi nonché il reddito annuo in franchi.</w:t>
      </w:r>
    </w:p>
    <w:p>
      <w:r>
        <w:rPr>
          <w:b/>
        </w:rPr>
        <w:t>E. 4.3</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TF H 133/06 del 25 settembre 2007 nonché I 524/02 del 25 novembre 2002 con rinvii). In effetti, per il periodo anteriore al 1° gennaio 1969, i conti individuali non comprendono l'indicazione della durata contributiva in mesi.</w:t>
      </w:r>
    </w:p>
    <w:p>
      <w:r>
        <w:rPr>
          <w:b/>
        </w:rPr>
        <w:t>E. 4.4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4.4.1</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con rinvii),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tutta la durata di contribuzione, pertanto pure gli anni per i quali il pagamento di contributi è prescritto ai sensi dell'art. 16 cpv. 1 LAVS.</w:t>
      </w:r>
    </w:p>
    <w:p>
      <w:r>
        <w:rPr>
          <w:b/>
        </w:rPr>
        <w:t>E. 4.4.2</w:t>
      </w:r>
    </w:p>
    <w:p>
      <w:r>
        <w:t>Il Tribunale federale ha altresì già avuto modo di rilevare che,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TF I 524/02 del 25 novembre 2002 consid. 2.3 con rinvii).</w:t>
      </w:r>
    </w:p>
    <w:p>
      <w:r>
        <w:rPr>
          <w:b/>
        </w:rPr>
        <w:t>E. 5.1</w:t>
      </w:r>
    </w:p>
    <w:p>
      <w:r>
        <w:t>Giusta il principio inquisitorio che regge la procedura in materia di assicurazioni sociali (art. 43 LPGA), l'amministrazione deve intraprendere d'ufficio i necessari accertamenti e raccogliere le informazioni di cui ha bisogno.</w:t>
      </w:r>
    </w:p>
    <w:p>
      <w:r>
        <w:rPr>
          <w:b/>
        </w:rPr>
        <w:t>E. 5.2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in: ATSG-Kommentar, 2a ed. 2009, art. 42 n. 19 pag. 536; sentenza del TF K 24/04 del 20 aprile 2005; DTF 122 II 464 consid. 4a). In tal caso, non sussiste una violazione del diritto costituzionale di essere sentito secondo l'art. 29 cpv. 2 Cst. (Sozialversicherungsrecht [SVR] 2001 IV n. 10 pag. 28).</w:t>
      </w:r>
    </w:p>
    <w:p>
      <w:r>
        <w:rPr>
          <w:b/>
        </w:rPr>
        <w:t>E. 5.3</w:t>
      </w:r>
    </w:p>
    <w:p>
      <w:r>
        <w:t>In virtù degli art. 12 e 13 PA e dell'art. 19 PA in relazione con l'art. 40 PC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6.1</w:t>
      </w:r>
    </w:p>
    <w:p>
      <w:r>
        <w:t>Nella fattispecie, dagli atti di causa emerge in particolare che nel passaporto del ricorrente rilasciato all'epoca dei fatti dalle autorità italiane, in casu dalla Questura di C._______, figura quale motivo indicato per l'emissione dello stesso, il rilascio da parte della "Polizia Svizzera" di un "permesso di dimora" (cfr. doc. 7 pag. 5). Dalle carte processuali emerge pure che il ricorrente ha vissuto in Svizzera per poco più di 12 mesi dal 5 dicembre 1966 al 22 dicembre 1967 (cfr. attestazione dell'Ufficio controllo abitanti del comune di F._______ [doc. 25 pag. 2]).</w:t>
      </w:r>
    </w:p>
    <w:p>
      <w:r>
        <w:rPr>
          <w:b/>
        </w:rPr>
        <w:t>E. 6.2</w:t>
      </w:r>
    </w:p>
    <w:p>
      <w:r>
        <w:t>Tuttavia, sul passaporto dell'interessato è aggiunta una dicitura "A" sul timbro apposto dalle autorità svizzere (doc. 7 pag. 8). Non è chiaro il significato di questa dicitura, segnatamente se tale dicitura stia per esempio ad indicare il tipo di permesso rilasciato, nel qual caso si tratterebbe del permesso di tipo A (stagionale).</w:t>
      </w:r>
    </w:p>
    <w:p>
      <w:r>
        <w:rPr>
          <w:b/>
        </w:rPr>
        <w:t>E. 6.3</w:t>
      </w:r>
    </w:p>
    <w:p>
      <w:r>
        <w:t>A tale proposito, va rilevato che il permesso di dimora tipo B ha di regola una durata di 12 mesi, mentre il permesso di stagionale tipo A aveva di regola una durata di 9 mesi. Per giurisprudenza consolidata, al possessore del permesso tipo A non viene riconosciuta una durata contributiva completa, come nel caso, invece, del rilascio di permessi di tipo B o C (cfr. sentenza del TF I 524/02 del 25 novembre 2002 consid. 2.3 con rinvii).</w:t>
      </w:r>
    </w:p>
    <w:p>
      <w:r>
        <w:rPr>
          <w:b/>
        </w:rPr>
        <w:t>E. 6.4</w:t>
      </w:r>
    </w:p>
    <w:p>
      <w:r>
        <w:t>Da un lato, il passaporto italiano esibito dal ricorrente nonché l'attestazione rilasciata dal comune di F._______, corroborano la tesi del ricorrente secondo la quale ha soggiornato in Svizzera ininterrottamente dal dicembre 1966 a dicembre 1967 in possesso di un permesso di dimora tipo B. Dall'altro lato, non può essere escluso che la dicitura "A" sul timbro apposto dalle autorità svizzere di polizia degli stranieri stia ad indicare il permesso di stagionale tipo A rilasciato all'epoca. Ritenuta la documentazione probante prodotta dal ricorrente, incombeva all'autorità inferiore, nella misura in cui non fosse ancora convinta della verosimiglianza preponderante del rilascio di un permesso di dimora, di effettuare le necessarie verifiche sulla portata della dicitura "A" di cui al timbro apposto all'epoca dalle autorità svizzere sul passaporto del ricorrente prima di decidere sulla sua richiesta di erogazione di una rendita AVS svizzera, fermo restando che non vi è ragione di ritenere aprioristicamente che tale questione non possa trovare una risposta.</w:t>
      </w:r>
    </w:p>
    <w:p>
      <w:r>
        <w:rPr>
          <w:b/>
        </w:rPr>
        <w:t>E. 7</w:t>
      </w:r>
    </w:p>
    <w:p>
      <w:r>
        <w:t>Pertanto, il ricorso deve essere accolto e la decisione impugnata, che viola il diritto federale (accertamento inesatto ed incompleto dei fatti giuridicamente rilevanti), incorre nell'annullamento.</w:t>
      </w:r>
    </w:p>
    <w:p>
      <w:r>
        <w:rPr>
          <w:b/>
        </w:rPr>
        <w:t>E. 8</w:t>
      </w:r>
    </w:p>
    <w:p>
      <w:r>
        <w:t>Quando il Tribunale amministrativo federale annulla una decisione, esso può sostituirsi all'autorità inferiore e giudicare direttamente nel merito o rinviare la causa, con istruzioni vincolanti, all'autorità inferiore per un nuovo giudizio (cfr. sentenza del TAF C-6433/2011 del 3 maggio 2013 consid. 13.1). In particolare, esso si sostituirà all'autorità inferiore se gli atti sono completi e comunque sufficienti a statuire sull'applicazione del diritto federale (v. sentenza del TF 9C_162/2007 del 3 aprile 2008 consid. 2.3 con rinvii; DTF126 II 43; 125 II 326). Tale non è il caso nella presente fattispecie per i motivi precedentemente indicati. Spetta dunque all'autorità inferiore completare l'istruttoria di causa al fine di poter statuire con cognizione di causa - se del caso secondo la verosimiglianza preponderante - sulla domanda di rendita svizzera di vecchiaia del ricorrente, fermo restando che qualora questo Tribunale dovesse completare esso stesso l'istruttoria per quanto ancora necessario e statuire poi direttamente nel merito, esso priverebbe il ricorrente di un grado di giudizio dinanzi ad un'autorità di ricorso che gode di piena cognizione, ciò che nel caso di specie, conto tenuto segnatamente della violazione del principio inquisitorio da parte dell'autorità inferiore e della conseguente sommaria constatazione dei fatti, non vi è ragione di fare (v. sentenza del TF 9C_162/2007 del 3 aprile 2008 consid. 2.3 con rinvii). Gli atti di causa sono pertanto rinviati all'autorità inferiore affinché la stessa proceda a completare l'accertamento dei fatti giuridicamente rilevanti nonché a pronunciare una nuova decisione ai sensi dei considerandi.</w:t>
      </w:r>
    </w:p>
    <w:p>
      <w:r>
        <w:rPr>
          <w:b/>
        </w:rPr>
        <w:t>E. 9.1</w:t>
      </w:r>
    </w:p>
    <w:p>
      <w:r>
        <w:t>Non si prelevano spese processuali (art. 85bis cpv. 2 LAVS).</w:t>
      </w:r>
    </w:p>
    <w:p>
      <w:r>
        <w:rPr>
          <w:b/>
        </w:rPr>
        <w:t>E. 9.2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