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C-1010/2012 vom 5. November 2012</w:t>
      </w:r>
    </w:p>
    <w:p>
      <w:r>
        <w:t>Bundesverwaltungsgericht, 2012-11-05, IT</w:t>
      </w:r>
    </w:p>
    <w:p>
      <w:r>
        <w:rPr>
          <w:b/>
        </w:rPr>
        <w:t xml:space="preserve">Quelle: </w:t>
      </w:r>
      <w:r>
        <w:t>https://mcp.opencaselaw.ch/entscheid/bvger_C-1010_2012</w:t>
      </w:r>
    </w:p>
    <w:p>
      <w:r>
        <w:t>FR: TAF C-1010/2012 du 5 novembre 2012</w:t>
      </w:r>
    </w:p>
    <w:p>
      <w:r>
        <w:t>IT: TAF C-1010/2012 del 5 novembre 2012</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ricorrente è cittadino di uno Stato membro della Comunità europea. Di conseguenza, è applicabile, nella specie, l'accordo sulla libera circolazione delle persone del 21 giugno 1999 fra la Confederazione svizzera, da una parte e la Comunità europea ed i suoi Stati membri dall'altra, entrato in vigore il 1° giugno 2002 (ALC, RS 0142.112.681).</w:t>
      </w:r>
    </w:p>
    <w:p>
      <w:r>
        <w:rPr>
          <w:b/>
        </w:rPr>
        <w:t>E. 3.2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w:t>
      </w:r>
    </w:p>
    <w:p>
      <w:r>
        <w:t>Relativamente al diritto applicabile, deve essere precisato che, a partire dal 1° gennaio 2012, la presente procedura è retta dalla LAI nel suo tenore modificato il 18 marzo 2011 (6a revisione), ritenuto tuttavia il principio secondo il quale le norme applicabili sono quelle in vigore al momento in cui dei fatti giuridicamente rilevanti si sono verificati (DTF 130 V 445 consid. 1.2). Ne consegue che il diritto alla rendita si esamina fino al 31 dicembre 2011 alla luce delle precedenti norme e, a partire da quella data, secondo le nuove disposizioni.</w:t>
      </w:r>
    </w:p>
    <w:p>
      <w:r>
        <w:rPr>
          <w:b/>
        </w:rPr>
        <w:t>E. 5</w:t>
      </w:r>
    </w:p>
    <w:p>
      <w:r>
        <w:t>Il periodo di cognizione giudiziaria dello scrivente Tribunale amministrativo federale si estende fino all'11 gennaio 2012, data dell'impugnata decisione. Il giudice delle assicurazioni sociali analizza, infatti, la legalità della decisione impugnata, in generale, secondo lo stato di fatto esistente al momento in cui la decisione in lite è stata resa (DTF 136 V 24 consid. 4.3).</w:t>
      </w:r>
    </w:p>
    <w:p>
      <w:r>
        <w:rPr>
          <w:b/>
        </w:rPr>
        <w:t>E. 6.1</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8.1</w:t>
      </w:r>
    </w:p>
    <w:p>
      <w:r>
        <w:t>A._______, dopo il rimpatrio, ha lavorato in modo saltuario (con interruzioni per disoccupazione) come bracciante agricolo per conto terzi. Non ha più svolto attività lucrativa, a suo dire per ragioni di salute, dopo il dicembre 2004 (doc. 3, 35, 37).</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Per quanto riguarda la diagnosi, secondo la perizia medica particolareggiata (E 213 del 3 novembre 2010, doc. 31), A._______ soffre di diabete mellito di tipo II, ipertensione arteriosa, obesità, spondilodiscoartrosi cervico-lombare, artropatia degenerativa delle spalle. Secondo la Dott.ssa Rossi, autrice di una perizia per il Tribunale d'Appello di Lecce, l'interessato soffre di cardiopatia ipertensiva, disventilopatia respiratoria, diabete mellito tipo II, poliartrosi diffusa dal peculiare interessamento della scapolo-omerale e del rachide in toto dall'evidente impegno funzionale, sindrome dispeptica da ulcera gastrica (doc. 50).</w:t>
      </w:r>
    </w:p>
    <w:p>
      <w:r>
        <w:rPr>
          <w:b/>
        </w:rPr>
        <w:t>E. 9.2.1</w:t>
      </w:r>
    </w:p>
    <w:p>
      <w:r>
        <w:t>Per quanto concerne le conseguenze invalidanti delle menzionate affezioni, i pareri sono divergenti. Il medico dell'INPS (doc. 31) pone un grado d'invalidità globale del 67% ed indica che l'assicurato non sarebbe in grado di svolgere alcun lavoro; dello stesso sostanziale parere è la Dott.ssa Rossi, autrice della relazione rimessa nel settembre 2010 al Tribunale d'Appello di Lecce (doc. 50). Dal canto suo, il Dott. Lehmann, ammette che l'interessato, soprattutto per i problemi d'ipomobilità ed algia alle spalle, e non per altri motivi, non potrebbe più lavorare come bracciante agricolo, ma a lui sarebbero proponibili ancora attività semplici, ripetitive, semileggere o leggere.</w:t>
      </w:r>
    </w:p>
    <w:p>
      <w:r>
        <w:rPr>
          <w:b/>
        </w:rPr>
        <w:t>E. 9.2.2</w:t>
      </w:r>
    </w:p>
    <w:p>
      <w:r>
        <w:t>La limitazione funzionale affliggente l'assicurato riguarda l'apparato ortopedico in concomitanza con il sovrappeso evidente (90 kg per 160 cm di altezza). Il rachide è spinalgico e contratturato nel tratto cervicale e dorsolombare; vi è una discreta limitazione funzionale dei movimenti del capo e del tronco. Principalmente le spalle sono lesionate: la cuffia dei rotatori della spalla destra presenta alterazioni marcate di carattere degenerativo con lacerazione completa o quasi del tendine sovraspinato (doc. 30); la spalla sinistra appare pure lesionata (doc. 25) con in tendini del sovra spinoso e sottospinoso disomogenei per fenomeni degenerativi di grado medio-avanzato; vi è inoltre un'evidente artropatia degenerativa a carico dell'articolazione acromion-claveare ove si osserva un discreto versamento articolare. Di conseguenza, le spalle sono dolenti e limitate alla mobilizzazione che appare ridotta di oltre 1/3. Altri disturbi minori si presentano nella forza limitata di chiusura a pugno delle mani e dolenzie al ginocchio destro.</w:t>
      </w:r>
    </w:p>
    <w:p>
      <w:r>
        <w:rPr>
          <w:b/>
        </w:rPr>
        <w:t>E. 9.2.3</w:t>
      </w:r>
    </w:p>
    <w:p>
      <w:r>
        <w:t>Meno problemi presentano gli altri organi ed apparati. L'ipertensione, patologia assai diffusa, non ha mai causato una malattia cardiaca maggiore ed è tenuta sotto controllo da adeguata terapia farmacologica e una, perlomeno consigliata, dieta ipocalorica. Il rischio di un possibile peggioramento a livello cardiaco, in carenza di cura specifica e riduzione del peso corporeo, non costituisce, di per sé, un motivo d'invalidità. La Dott.ssa Rossi accenna ad una turba respiratoria ("disventilazione"), mai documentata, non accennata nell'E 213, che è verosimilmente da ricondurre, come lo spiega il Dott. Lehmann (doc. 53), alla obesità dell'assicurato. Inoltre, una banale dispepsia da imputare a problemi del tratto esofageo-gastrico, non rappresenta una patologia di carattere debilitante ed è emendabile, anche in questo caso, con cura farmacologica. Il diabete, come risulta dai frequenti accertamenti presso un centro specialistico in endocrinologia, è tenuto sotto buon controllo con ipoglicemizzanti orali (doc. 24, 29; 31 cifra 3.3). Quest'ultima patologia, finora, non ha causato quelle tipiche affezioni che, in caso di degenerazione della stessa, si manifestano a livello articolare, cardiaco, renale, neurologico ed oftalmologico. Per il resto, A._______ si presenta in buone condizioni generali di salute, tutti gli altri organi ed apparati essendo indenni da patologie e non presentandosi, nel caso in esame, affezioni maggiori o gravi.</w:t>
      </w:r>
    </w:p>
    <w:p>
      <w:r>
        <w:rPr>
          <w:b/>
        </w:rPr>
        <w:t>E. 10.1</w:t>
      </w:r>
    </w:p>
    <w:p>
      <w:r>
        <w:t>Il collegio giudicante, sulla scorta del parere del servizio medico dell'UAIE, ritiene che A._______, non avrebbe più potuto svolgere un'attività nel settore dell'agricoltura, se non in misura sensibilmente ridotta. A lui sarebbero comunque stati proponibili, al 100%, a partire dall'epoca in cui si presentarono le limitazioni funzionali di rilievo alle spalle (2008/2010), attività di ripiego leggere e/o semisedentarie, ripetitive, non qualificate, quali quella di operaio addetto al controllo di macchine di produzione automatica, operaio addetto all'imballaggio di piccoli oggetti, portiere d'albergo, addetto alla ricezione in portinerie di ditte, fattorino in azienda privata o pubblica; custode di museo o di parcheggio, aiuto magazziniere ecc.</w:t>
      </w:r>
    </w:p>
    <w:p>
      <w:r>
        <w:rPr>
          <w:b/>
        </w:rPr>
        <w:t>E. 10.2</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123 V 88 consid. 4c e 113 V 28 consid. 4a e sentenze ivi citate).</w:t>
      </w:r>
    </w:p>
    <w:p>
      <w:r>
        <w:rPr>
          <w:b/>
        </w:rPr>
        <w:t>E. 10.3</w:t>
      </w:r>
    </w:p>
    <w:p>
      <w:r>
        <w:t>È vero che durante la sua carriera professionale l'insorgente ha svolto principalmente l'attività di operaio edile (Svizzera) e bracciante agricolo (Italia). Si può tuttavia ritenere che, visto il genere d'attività sostitutive in esame e la natura delle sue affezioni, un adattamento del posto di lavoro alle condizioni di salute del ricorrente non risulta necessario, rispettivamente è di semplice realizzazione e ciò nonostante l'età. Questo Tribunale osserva pure che allo stesso si presenta un ventaglio relativamente ampio di professioni possibili (e sufficientemente specificate) in diversi settori, con mansioni semplici e ripetitive, che non richiedono necessariamente la messa in atto di particolari misure di reintegrazione professionale.</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11.2</w:t>
      </w:r>
    </w:p>
    <w:p>
      <w:r>
        <w:t>L'amministrazione ha fondato il calcolo comparativo dei redditi sulla base di dati statistici anche per quel che attiene al salario precedente l'invalidità, l'incarto non contiene infatti informazioni di carattere retributivo. Tale modo di procedere è corretto, come adeguato è pure il riferimento all'anno 2008 in carenza di notizie certe circa l'esatta data di insorgenza di un'incapacità di lavoro come bracciante agricolo. Nel 2008, un lavoratore agricolo, in media, in Italia, percepiva un introito mensile di 1'298,94 Euro.</w:t>
      </w:r>
    </w:p>
    <w:p>
      <w:r>
        <w:rPr>
          <w:b/>
        </w:rPr>
        <w:t>E. 11.3</w:t>
      </w:r>
    </w:p>
    <w:p>
      <w:r>
        <w:t>Quale reddito da invalido si deve ritenere quello statistico ottenibile in attività di tipo leggero fino a medio pesante, semplici, non qualificate, ripetitive. Queste attività nel 2008 comportavano un salario medio mensile di 1'298.94 Euro mensili. Questo introito teorico può essere ridotto per tenere conto dei fattori personali dell'assicurato (DTF 126 V 75), quali età, handicap. L'amministrazione, gode di un ampio margine d'apprezzamento che il giudice può rivedere soli in casi eccezionali e motivati (DTF 137 V 71 consid. 5.2). Va rilevato che secondo la consolidata giurisprudenza la riduzione massima è del 25%. L'amministrazione ha operato la deduzione massima, conto tenuto soprattutto dell'età, ormai avanzata, dell'assicurato e dei suoi handicap menzionati. Ne consegue un introito mensile di 940.69 Euro.</w:t>
      </w:r>
    </w:p>
    <w:p>
      <w:r>
        <w:rPr>
          <w:b/>
        </w:rPr>
        <w:t>E. 11.4</w:t>
      </w:r>
    </w:p>
    <w:p>
      <w:r>
        <w:t>Il confronto fra un reddito privo d'invalidità di 1'298.94 Euro ed un introito teorico dopo l'insorgenza dell'invalidità di 940.69 Euro fa risultare una perdita di guadagno del 27.58% (arrotondato al 28%), grado che non comporta alcun riconoscimento di una rendita dell'assicurazione svizzera per l'invalidità.</w:t>
      </w:r>
    </w:p>
    <w:p>
      <w:r>
        <w:rPr>
          <w:b/>
        </w:rPr>
        <w:t>E. 11.5</w:t>
      </w:r>
    </w:p>
    <w:p>
      <w:r>
        <w:t>Vero è infine che A._______ è stato riconosciuto invalido dalle patrie assicurazioni sociali in esito alla sentenza del Tribunale d'Appello di Lecce del 13 ottobre 2010 (doc. 49). Questa circostanza non è comunque determinante dal momento che, come indicato al considerando 3.3, ciascuno degli Stati applica come criterio di valutazione dell'invalidità nozioni che sono proprie all'ordinamento giuridico in vigore in quello Stato. In queste circostanze il ricorso deve essere respinto e l'impugnata decisione confermata.</w:t>
      </w:r>
    </w:p>
    <w:p>
      <w:r>
        <w:rPr>
          <w:b/>
        </w:rPr>
        <w:t>E. 12.1</w:t>
      </w:r>
    </w:p>
    <w:p>
      <w:r>
        <w:t>La procedura è di principio onerosa (art. 69 LAI). L'insorgente ha chiesto l'esenzione dal pagamento delle spese processuali. Vista la situazione dell'interessato che, secondo il formulario rimesso il 19 settembre 2012, percepisce una pensione italiana di meno di 600 Euro mensili e dichiara una fortuna di 18'192 Euro, le spese processuali possono essere condonate ai sensi dell'art. 6 lett. a del regolamento del 21 febbraio 2008 sulle tasse e sulle spese ripetibili nelle cause dinanzi il tribunale amministrativo federale (TS-TAF, RS 173.320.2).</w:t>
      </w:r>
    </w:p>
    <w:p>
      <w:r>
        <w:rPr>
          <w:b/>
        </w:rPr>
        <w:t>E. 12.2</w:t>
      </w:r>
    </w:p>
    <w:p>
      <w:r>
        <w:t>Visto l'esito del ricorso, non vengono riconosciute indennità per spese ripetibili. Per quel che concerne l'UAIE, le autorità federali non hanno diritto ad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