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C-100/2022 vom 23. November 2021</w:t>
      </w:r>
    </w:p>
    <w:p>
      <w:r>
        <w:t>Bundesverwaltungsgericht, 2021-11-23, DE</w:t>
      </w:r>
    </w:p>
    <w:p>
      <w:r>
        <w:rPr>
          <w:b/>
        </w:rPr>
        <w:t xml:space="preserve">Quelle: </w:t>
      </w:r>
      <w:r>
        <w:t>https://mcp.opencaselaw.ch/entscheid/bvger_C-100_2022_d20211123</w:t>
      </w:r>
    </w:p>
    <w:p>
      <w:r>
        <w:t>FR: TAF C-100/2022 du 23 novembre 2021</w:t>
      </w:r>
    </w:p>
    <w:p>
      <w:r>
        <w:t>IT: TAF C-100/2022 del 23 novembre 2021</w:t>
      </w:r>
    </w:p>
    <w:p>
      <w:pPr>
        <w:pStyle w:val="Heading2"/>
      </w:pPr>
      <w:r>
        <w:t>Regeste</w:t>
      </w:r>
    </w:p>
    <w:p>
      <w:r>
        <w:t>Rentenanspruch | Invalidenversicherung, Rentenanspruch, Verfügung der IVSTA vom 23. November 2021</w:t>
      </w:r>
    </w:p>
    <w:p>
      <w:pPr>
        <w:pStyle w:val="Heading2"/>
      </w:pPr>
      <w:r>
        <w:t>Erwägungen</w:t>
      </w:r>
    </w:p>
    <w:p>
      <w:r>
        <w:rPr>
          <w:b/>
        </w:rPr>
        <w:t>E. 1</w:t>
      </w:r>
    </w:p>
    <w:p>
      <w:r>
        <w:t>Die Beschwerde wird insoweit gutgeheissen, als die angefochtene Verfügung aufgehoben und die Sache zu weiteren Abklärungen im Sinne der Erwägungen und zu neuem Entscheid an die Vorinstanz zurückgewiesen wird.</w:t>
      </w:r>
    </w:p>
    <w:p>
      <w:r>
        <w:rPr>
          <w:b/>
        </w:rPr>
        <w:t>E. 2</w:t>
      </w:r>
    </w:p>
    <w:p>
      <w:r>
        <w:t>Es werden keine Verfahrenskosten erhoben.</w:t>
      </w:r>
    </w:p>
    <w:p>
      <w:r>
        <w:rPr>
          <w:b/>
        </w:rPr>
        <w:t>E. 3</w:t>
      </w:r>
    </w:p>
    <w:p>
      <w:r>
        <w:t>Der Beschwerdeführerin wird zu Lasten der Vorinstanz eine Parteientschädigung von Fr. 2'987.50 zugesprochen.</w:t>
      </w:r>
    </w:p>
    <w:p>
      <w:r>
        <w:rPr>
          <w:b/>
        </w:rPr>
        <w:t>E. 4</w:t>
      </w:r>
    </w:p>
    <w:p>
      <w:r>
        <w:t>Dieses Urteil geht an die Beschwerdeführerin, die Vorinstanz und das BSV. Für die Rechtsmittelbelehrung wird auf die nächste Seite verwiesen. Die vorsitzende Richterin: Die Gerichtsschreiberin: Viktoria Helfenstein Patrizia Levante Rechtsmittelbelehrung: Gegen diesen Entscheid kann innert 30 Tagen nach Eröffnung beim Bundesgericht, Schweizerhofquai 6, 6004 Luzern, Beschwerde in öffentlich-rechtlichen Angelegenheiten geführt werden, sofern die Voraussetzungen gemäss Art. 82 ff., 90 ff. und 100 BGG gegeben sind.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