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C-100/2022 vom 28. Juli 2022</w:t>
      </w:r>
    </w:p>
    <w:p>
      <w:r>
        <w:t>Bundesverwaltungsgericht, 2022-07-28, DE</w:t>
      </w:r>
    </w:p>
    <w:p>
      <w:r>
        <w:rPr>
          <w:b/>
        </w:rPr>
        <w:t xml:space="preserve">Quelle: </w:t>
      </w:r>
      <w:r>
        <w:t>https://mcp.opencaselaw.ch/entscheid/bvger_C-100_2022</w:t>
      </w:r>
    </w:p>
    <w:p>
      <w:r>
        <w:t>FR: TAF C-100/2022 du 28 juillet 2022</w:t>
      </w:r>
    </w:p>
    <w:p>
      <w:r>
        <w:t>IT: TAF C-100/2022 del 28 luglio 2022</w:t>
      </w:r>
    </w:p>
    <w:p>
      <w:pPr>
        <w:pStyle w:val="Heading2"/>
      </w:pPr>
      <w:r>
        <w:t>Regeste</w:t>
      </w:r>
    </w:p>
    <w:p>
      <w:r>
        <w:t>Rentenanspruch</w:t>
      </w:r>
    </w:p>
    <w:p>
      <w:pPr>
        <w:pStyle w:val="Heading2"/>
      </w:pPr>
      <w:r>
        <w:t>Erwägungen</w:t>
      </w:r>
    </w:p>
    <w:p>
      <w:r>
        <w:rPr>
          <w:b/>
        </w:rPr>
        <w:t>E. 1</w:t>
      </w:r>
    </w:p>
    <w:p>
      <w:r>
        <w:t>Die Beschwerde wird insoweit gutgeheissen, als die angefochtene Verfügung aufgehoben und die Sache zu weiteren Abklärungen im Sinne der Erwägungen und zu neuem Entscheid an die Vorinstanz zurückgewiesen wird.</w:t>
      </w:r>
    </w:p>
    <w:p>
      <w:r>
        <w:rPr>
          <w:b/>
        </w:rPr>
        <w:t>E. 2</w:t>
      </w:r>
    </w:p>
    <w:p>
      <w:r>
        <w:t>Es werden keine Verfahrenskosten erhoben.</w:t>
      </w:r>
    </w:p>
    <w:p>
      <w:r>
        <w:rPr>
          <w:b/>
        </w:rPr>
        <w:t>E. 3</w:t>
      </w:r>
    </w:p>
    <w:p>
      <w:r>
        <w:t>Der Beschwerdeführerin wird zu Lasten der Vorinstanz eine Parteientschädigung von Fr. 2'987.50 zugesprochen.</w:t>
      </w:r>
    </w:p>
    <w:p>
      <w:r>
        <w:rPr>
          <w:b/>
        </w:rPr>
        <w:t>E. 4</w:t>
      </w:r>
    </w:p>
    <w:p>
      <w:r>
        <w:t>Dieses Urteil geht an die Beschwerdeführerin, die Vorinstanz und das BSV. Für die Rechtsmittelbelehrung wird auf die nächste Seite verwiesen. Die vorsitzende Richterin: Die Gerichtsschreiberin: Viktoria Helfenstein Patrizia Levante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