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C-1001/2007 vom 7. Juli 2008</w:t>
      </w:r>
    </w:p>
    <w:p>
      <w:r>
        <w:t>Bundesverwaltungsgericht, 2008-07-07, DE</w:t>
      </w:r>
    </w:p>
    <w:p>
      <w:r>
        <w:rPr>
          <w:b/>
        </w:rPr>
        <w:t xml:space="preserve">Quelle: </w:t>
      </w:r>
      <w:r>
        <w:t>https://mcp.opencaselaw.ch/entscheid/bvger_C-1001_2007</w:t>
      </w:r>
    </w:p>
    <w:p>
      <w:r>
        <w:t>FR: TAF C-1001/2007 du 7 juillet 2008</w:t>
      </w:r>
    </w:p>
    <w:p>
      <w:r>
        <w:t>IT: TAF C-1001/2007 del 7 luglio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Die Beschwerdeführerin ist gemäss Art. 48 VwVG zur Beschwerde legitimiert; auf die frist- und formgerecht eingereichte Rechtsmitteleingabe ist einzutreten (Art. 49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Die Schweizerische Rechtsordnung gewährt grundsätzlich keinen Anspruch auf Bewilligung der Einreise. Der Entscheid darüber ist - vorbehältlich nachfolgend zu erörternder Hinderungsgründe - von der Bewilligungsbehörde in pflichtgemässer Ausübung ihres Ermessens zu fällen (Art. 4 und Art. 16 Abs. 1 aANAG, Art. 9 Abs. 1 aVEA, Peter Uebersax, Einreise und Anwesenheit, in: Peter Uebersax / Peter Münch / Thomas Geiser / Martin Arnold (Hrsg.), Ausländerrecht, Ausländerinnen und Ausländer im öffentlichen Recht, Privatrecht, Steuerrecht und Sozialrecht der Schweiz, Basel/Genf/München 2002, S. 143; Urs Bolz, Rechtsschutz im Ausländer- und Asylrecht, Basel und Frankfurt a.M. 1990, S. 29 mit weiteren Hinweisen; Philip Grant, La protection de la vie familiale et de la vie privée en droit des étrangers, Basel usw. 2000, S. 24).</w:t>
      </w:r>
    </w:p>
    <w:p>
      <w:r>
        <w:rPr>
          <w:b/>
        </w:rPr>
        <w:t>E. 3.2</w:t>
      </w:r>
    </w:p>
    <w:p>
      <w:r>
        <w:t>Ausländerinnen und Ausländer benötigen zur Einreise in die Schweiz einen Pass und ein Visum, sofern sie nicht aufgrund besonderer Regelung von diesem Erfordernis ausgenommen sind (Art. 1 bis 5 aVEA). Um ein Visum zu erhalten, müssen Ausländerinnen und Ausländer die in Artikel 1 Absatz 2 aVEA aufgeführten Voraussetzungen erfüllen. Sie haben unter anderem Gewähr für eine fristgerechte Wiederausreise zu bieten (Art. 1 Abs. 2 Bst. c aVEA).</w:t>
      </w:r>
    </w:p>
    <w:p>
      <w:r>
        <w:rPr>
          <w:b/>
        </w:rPr>
        <w:t>E. 4.1</w:t>
      </w:r>
    </w:p>
    <w:p>
      <w:r>
        <w:t>Die Beschwerdeführerin bedarf aufgrund ihrer Nationalität zur Einreise in die Schweiz nebst dem Pass eines Visums. Die Vorinstanz verweigerte die Erteilung eines solchen Visums mit der Begründung, die anstandslose und fristgerechte Wiederausreise erscheine nicht als hinreichend gesichert.</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Die Wirtschaft Sri Lankas ist 2007 real um 7,4 % gewachsen. Das Pro-Kopf-Einkommen betrug 1350 USD, das Bruttoinlandprodukt (BIP) 27 Mrd. USD. Für 2008 wird erneut ein hohes Wirtschaftswachstum von über 6 % erwartet. Ein Problem für die weitere wirtschaftliche Entwicklung ist zunehmend die Inflation, die 2007 mit einer Jahresrate von deutlich über 15 % nicht unter Kontrolle gebracht werden konnte. Die Arbeitslosigkeit beträgt seit längerer Zeit ungefähr 7 %. Die wirtschaftliche Entwicklung Sri Lankas weist allerdings grosse regionale Unterschiede auf. Wirtschaftliches Zentrum ist die Region rund um Colombo, die fast die Hälfte der gesamten Wirtschaftsleistung erbringt. Die grundsätzlich ermutigenden wirtschaftlichen Entwicklungen können solchermassen nicht über die Tatsache hinwegtäuschen, dass nach wie vor breite Bevölkerungsschichten von vergleichsweise schwierigen ökonomischen und sozialen Lebensbedingungen betroffen sind. Darüber hinaus hat sich die Sicherheitslage im ganzen Land seit Anfang 2006 wieder verschlechtert, nachdem erneut Kämpfe zwischen dem Militär und der Liberation Tigers of Tamil Eelam (LTTE) ausgebrochen sind. Davon besonders betroffen sind der Osten und Norden Sri Lankas; Anschläge kommen jedoch auch in der Hauptstadt Colombo vor. Zudem hat die Regierung am 3. Januar 2008 das Waffenstillstandsabkommen mit der LTTE offiziell per 16. Januar 2008 gekündigt; seither haben die Gefechte im Norden des Landes zugenommen und das politische Klima ist sehr gespannt (Quellen: Länder- und Reiseinformationen auf der Webseite des Auswärtigen Amtes, www.auswaertiges-amt.de, Stand: Juni 2008, besucht am 13. Juni 2008; Reisehinweise auf der Webseite des Eidgenössischen Departements für Auswärtige Angelegenheiten [EDA], www.eda.admin.ch, Stand: 7. Februar 2008, besucht am 13. Juni 2008; vgl. auch Urteil des Bundesverwaltungsgerichts E-2775/2007 vom 14. Februar 2008 E. 7.2 bis 7.5). Die Verhältnisse in Sri Lanka widerspiegeln sich in einer anhaltend hohen Emigrationsrate. Die Bereitschaft, das Land auf der Suche nach besseren Lebensbedingungen zu verlassen, wird erfahrungsgemäss dort noch begünstigt, wo bereits Verwandte oder Bekannte im Ausland leben und entsprechend ein minimales soziales Beziehungsnetz vorhanden ist. Im Falle der Schweiz führen diese Verhältnisse angesichts der strengen ausländerrechtlichen Zulassungsregelung nicht selten zu unerwünschten Umgehungsmechanismen. So haben hier beispielsweise im Jahre 2007 618 srilankische Staatsangehörige um Asyl ersucht. In der Statistik der Asylgesuche nach Nationen steht Sri Lanka knapp hinter der Türkei an fünfter Stelle. Die Problematik liegt dabei nicht so sehr in der Tatsache, dass überhaupt Asylgesuche gestellt werden, als vielmehr darin, dass diese Gesuche regelmässig nicht aus dem Ausland, sondern nach illegaler oder sonst wie erwirkter Einreise in der Schweiz eingereicht werden. Umgehungsmechanismen sind aber auch insofern gang und gäbe, als nach erfolgter Einreise mit einem Visum, trotz gegenteiliger Zusicherungen, Verlängerungsgesuche gestellt werden oder versucht wird, den Aufenthalt auf eine ganz andere ausländerrechtliche Grundlage abzustützen.</w:t>
      </w:r>
    </w:p>
    <w:p>
      <w:r>
        <w:rPr>
          <w:b/>
        </w:rPr>
        <w:t>E. 4.4</w:t>
      </w:r>
    </w:p>
    <w:p>
      <w:r>
        <w:t>Die Beschwerdeführerin bringt in diesem Zusammenhang vor, es gehe nicht an, lediglich auf die allgemeine Lage der Zuwanderer aus Sri Lanka und die in zahlreichen Fällen gemachten (negativen) Erfahrungen abzustellen. Dazu ist klarzustellen, dass es in der Tat zu schematisch und nicht haltbar wäre, generell und ohne spezifische Anhaltspunkte, ausschliesslich aufgrund der politischen und/oder wirtschaftlichen Situation im Heimatland auf eine nicht hinreichend gesicherte Wiederausreise zu schliessen. Im Rahmen einer Gesamtwürdigung können jedoch aus der allgemeinen Lage im Herkunftsland und der Zuwanderungssituation Anhaltspunkte zur Beurteilung der fristgerechten Wiederausreise gewonnen werden. Die Berücksichtigung dieser Umstände ergibt sich somit implizit aus Art. 1 Abs. 2 Bst. c aVEA. So können insbesondere Einreisegesuche von Bürgerinnen und Bürgern aus Staaten bzw. Regionen mit politisch oder wirtschaftlich vergleichsweise ungünstigen Verhältnissen darauf hindeuten, dass die persönliche Interessenlage nicht mit dem Ziel und Zweck einer zeitlich befristeten Einreisebewilligung in Einklang steht.</w:t>
      </w:r>
    </w:p>
    <w:p>
      <w:r>
        <w:rPr>
          <w:b/>
        </w:rPr>
        <w:t>E. 4.5</w:t>
      </w:r>
    </w:p>
    <w:p>
      <w:r>
        <w:t>Bei der Risikoanalyse sind aber nicht nur solch allgemeine Umstände und Erfahrungen, sondern auch, wie bereits erwähnt, sämtliche Gesichtspunkte des konkreten Einzelfalles zu berücksichtigen. Obliegt einem Gesuchsteller oder einer Gesuchstellerin im Heimatstaat beispielsweise eine besondere berufliche, gesellschaftliche oder familiäre Verantwortung, kann dieser Umstand durchaus die Prognose für eine anstandslose Wiederausreise begünstigen. Andererseits muss bei Antragstellerinnen und Antragstellern, die in der Heimat keine der erwähnten Verpflichtungen haben, die sie von einer möglichen Emigration abhalten könnten, aufgrund entsprechender Erfahrungen das Risiko für ein fremdenpolizeilich nicht regelkonformes Verhalten (nach bewilligter Einreise zu einem Besuchsaufenthalt) hoch eingeschätzt werden.</w:t>
      </w:r>
    </w:p>
    <w:p>
      <w:r>
        <w:rPr>
          <w:b/>
        </w:rPr>
        <w:t>E. 5.1</w:t>
      </w:r>
    </w:p>
    <w:p>
      <w:r>
        <w:t>Die Beschwerdeführerin ist 42-jährig und unverheiratet. Zwar wird geltend gemacht, sie sei verlobt. Über die Person des Verlobten, dessen Aufenthaltsort und über allfällige gemeinsame Zukunftspläne wurde allerdings nichts ausgeführt. Ebenso wenig sind die Wohn- und Verwandtschaftsverhältnisse der Beschwerdeführerin bekannt. Es kann demnach nicht davon ausgegangen werden, dass im persönlichen oder familiären Umfeld der Beschwerdeführerin Verpflichtungen oder gar Abhängigkeiten vorhanden sind, die besondere Gewähr für eine Rückkehr nach Sri Lanka geben könnten.</w:t>
      </w:r>
    </w:p>
    <w:p>
      <w:r>
        <w:rPr>
          <w:b/>
        </w:rPr>
        <w:t>E. 5.2</w:t>
      </w:r>
    </w:p>
    <w:p>
      <w:r>
        <w:t>Tatsache ist, dass die Beschwerdeführerin im Osten Sri Lankas und somit in einem Krisengebiet lebt. Dass der Zuwanderungsdruck aus dieser Region anhält, stellt sie nicht in Frage. Auf der andern Seite leben die Schwester und der Schwager in der Schweiz, was einen starken Bezug schafft und bei der Beschwerdeführerin den Wunsch auslösen könnte, es ihnen gleich zu tun.</w:t>
      </w:r>
    </w:p>
    <w:p>
      <w:r>
        <w:rPr>
          <w:b/>
        </w:rPr>
        <w:t>E. 5.3</w:t>
      </w:r>
    </w:p>
    <w:p>
      <w:r>
        <w:t>Bezüglich der beruflichen Tätigkeit lässt sich den Akten lediglich entnehmen, dass die Beschwerdeführerin offenbar als selbständige Schneiderin arbeitet. Die Betroffenen unterliessen es jedoch, nähere Auskünfte zu den Erwerbseinkünften bzw. Vermögensverhältnissen zu erteilen oder entsprechende Belege vorzuweisen. Abgesehen davon lässt bereits der Umstand, dass die Beschwerdeführerin die maximal zulässige Aufenthaltsdauer von drei Monaten voll ausschöpfen möchte, nicht auf eine starke berufliche Verwurzelung in Sri Lanka schliessen.</w:t>
      </w:r>
    </w:p>
    <w:p>
      <w:r>
        <w:rPr>
          <w:b/>
        </w:rPr>
        <w:t>E. 5.4</w:t>
      </w:r>
    </w:p>
    <w:p>
      <w:r>
        <w:t>Der Umstand, dass die Einreise einem bestimmten Zweck, nämlich der Unterstützung der im Januar 2007 niedergekommenen Schwester dienen soll, vermag im Zusammenhang mit der Risikoeinschätzung keine besondere Gewähr zu vermitteln. Solche Umstände sind meist nur Teil einer vielschichtigen Interessenlage. Im Übrigen hegte auch die Schweizerische Vertretung in Sri Lanka, welche mit den Verhältnissen vor Ort am Besten vertraut ist und sich aufgrund einer persönlichen Begegnung ein Bild von den Gesuchstellerinnen und Gesuchstellern machen kann, Zweifel an einer fristgerechten und anstandslosen Wiederausreise.</w:t>
      </w:r>
    </w:p>
    <w:p>
      <w:r>
        <w:rPr>
          <w:b/>
        </w:rPr>
        <w:t>E. 5.5</w:t>
      </w:r>
    </w:p>
    <w:p>
      <w:r>
        <w:t>Unter den gegebenen Umständen durfte die Vorinstanz zu Recht davon ausgehen, es bestehe zu wenig Gewähr im Sinne der massgeblichen Bestimmungen. An der Richtigkeit dieser Einschätzung ändert auch die Tatsache nichts, dass die Gastgeber die rechtzeitige Rückkehr der Schwester respektive Schwägerin zugesichert haben, denn eine solche Garantie ist trotz bester und ehrlicher Absichten nicht möglich bzw. rechtlich nicht durchsetzbar. Gastgeber können zwar für gewisse finanzielle Risiken im Zusammenhang mit dem Besuchsaufenthalt, nicht aber für ein bestimmtes Verhalten ihrer Gäste garantieren (vgl. anstelle vieler: Urteil des Bundesverwaltungsgerichts C-2341/2006 vom 7. August 2007 E. 6).</w:t>
      </w:r>
    </w:p>
    <w:p>
      <w:r>
        <w:rPr>
          <w:b/>
        </w:rPr>
        <w:t>E. 6</w:t>
      </w:r>
    </w:p>
    <w:p>
      <w:r>
        <w:t>Bei dieser Sachlage kann offen bleiben, ob die deklarierte Absicht, die Schwester und den Schwager bei der Kinderbetreuung und im Haushalt zu unterstützen, vom Visumszweck (der nur zu einem Besuchsaufenthalt, nicht aber zu einer Tätigkeit berechtigt, die normalerweise auf Erwerb ausgerichtet ist) gedeckt gewesen wäre (vgl. Art. 11 Abs. 3 aVEA, Art. 6 der Verordnung vom 6. Oktober 1986 über die Begrenzung der Zahl der Ausländer [aBVO], AS 1986 1791; Entscheid des Eidgenössischen Justiz- und Polizeidepartements vom 22. September 1997, auszugsweise publiziert in: Verwaltungspraxis der Bundesbehörden [VPB 63.37]).</w:t>
      </w:r>
    </w:p>
    <w:p>
      <w:r>
        <w:rPr>
          <w:b/>
        </w:rPr>
        <w:t>E. 7</w:t>
      </w:r>
    </w:p>
    <w:p>
      <w:r>
        <w:t>Aus den dargelegten Gründen ist nicht zu beanstanden, dass die Vorinstanz das öffentliche Interesse sowie die Beachtung der geltenden Bestimmungen entsprechend gewichtete und der Beschwerdeführerin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8</w:t>
      </w:r>
    </w:p>
    <w:p>
      <w:r>
        <w:t>Dem Ausgang des Verfahrens entsprechend wird die unterliegende Beschwerdeführerin kostenpflichtig (Art. 63 Abs. 1 VwVG). Die Verfahrenskosten sind auf Fr. 600.- festzusetzen (Art. 1, Art. 2 und Art. 3 Bst. b des Reglements vom 21. Februar 2008 über die Kosten und Entschädigungen vor dem Bundesverwaltungsgericht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