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B-992/2009 vom 27. August 2009</w:t>
      </w:r>
    </w:p>
    <w:p>
      <w:r>
        <w:t>Bundesverwaltungsgericht, 2009-08-27, DE</w:t>
      </w:r>
    </w:p>
    <w:p>
      <w:r>
        <w:rPr>
          <w:b/>
        </w:rPr>
        <w:t xml:space="preserve">Quelle: </w:t>
      </w:r>
      <w:r>
        <w:t>https://mcp.opencaselaw.ch/entscheid/bvger_B-992_2009</w:t>
      </w:r>
    </w:p>
    <w:p>
      <w:r>
        <w:t>FR: TAF B-992/2009 du 27 août 2009</w:t>
      </w:r>
    </w:p>
    <w:p>
      <w:r>
        <w:t>IT: TAF B-992/2009 del 27 agosto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(Eidgenössische Rekurskommission für geistiges Eigentum [RKGE] in: Zeitschrift für Immaterialgüter-, Informations- und Wettbewerbsrecht [sic!] 2003 S. 495 E. 2 -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Bd. III/1 [nachfolgend: Marbach, SIWR III/1], Basel 2009, N. 247).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 Royal Comfort, mit Verweis auf das Urteil des Bundesgerichts vom 23. März 1998 - Avantgarde, in sic! 1998 S. 397; BGE 128 III 447 E. 1.5 - Première; BGE 127 III 160 E. 2b/aa - Securitas; vgl. auch Art. 6quinquies Bst.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4A_455/2008 vom 1. Dezember 2008 E. 3.2 - AdRank, und 4A_265/2007 vom 26. September 2007 E. 2.1 - American Beauty).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B-516/2008 vom 23. Januar 2009 E. 3 - After hours, und B-8371/2007 vom 19. Juni 2008 E. 5 - Leader).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Die Frage, ob eine Marke eine Beschaffenheitsangabe darstellt, ist aus Sicht der angesprochenen Abnehmerkreise zu beurteilen (WILLI, a.a.O., Art. 2, N. 41; MARBACH, SIWR III/1, N. 248). Bei der Beurteilung der Freihaltebedürftigkeit eines Zeichens bestehen die massgeblichen Verkehrskreise dagegen aus den Mitgliedern der betreffenden Branche, allen voran aus den Konkurrenten des Hinterlegers (WILLI, a. a. O., Art. 2, N. 44; MARBACH, SIWR III/1, N. 248). Zur Annahme von Gemeingut genügt es, dass bloss ein bestimmter Kreis der Adressaten, z.B. die Fachleute, das Zeichen als beschreibend erachtet (RKGE in sic! 1999 S. 557 E. 4 - Pedi-Med, mit Verweis u.a. auf LUCAS DAVID, Kommentar zum Markenschutzgesetz, in: Kommentar zum schweizerischen Privatrecht, Markenschutzgesetz / Muster- und Modellgesetz, Basel 1999 [hiernach: David, Kommentar MSchG], Art. 2, N. 9; vgl. auch Urteil des Bundesverwaltungsgerichts B-3394/2007 vom 29. September 2008 E. 4 - Salesforce.com und RKGE in sic! 2003 S. 806 E. 4 - SMArt, je mit Verweis auf DAVID, Kommentar MSchG, Art. 2, N. 18). Das strittige Zeichen ist hinterlegt für verschiedene Dienstleistungen der Klassen 35, 36, 37, 39 und 42 (vgl. Sachverhalt). Ein Teil der Dienstleistungen, nämlich "services d'un incubateur d'affaires, à savoir services de marketing d'affaires, de gestion d'affaires et de développement d'affaires sous forme de soutien aux sociétés en démarrage (start-ups) pour les affaires d'autrui" (Klasse 35) sowie "services d'un incubateur d'affaires, à savoir fourniture de financement propre et d'emprunt aux sociétés en démarrage (start-ups) et aux jeunes sociétés" (Klasse 36), richtet sich explizit an Start-ups und Jungunternehmen. Bei den übrigen Dienstleistungen handelt es sich um Unternehmensverwaltung und -beratung, Vermietung von Maschinen und Büroausstattung (Klasse 35), diverse Finanzdienstleistungen wie Kapitalbeschaffung, verschiedene Immobiliendienstleistungen, Leasing von Maschinen, Büro- und Laborausstattung (Klasse 36), diverse Immobiliendienstleistungen wie Bau, Reparatur sowie Unterhalt von Gebäuden und Elektro-, Heizungs-, Klima- und Sanitäranlagen (Klasse 37), Vermietung von Lagerhäusern (Klasse 39) sowie Dienstleistungen im Bereich Bauplanung und Vermietung von Computern, Maschinen und Laborausstattung (Klasse 42). Insbesondere für Start-ups und Jungunternehmen, welche beispielsweise im Bereich der Naturwissenschaften eine Idee ökonomisch umsetzen wollen, denen aber das geschäftliche Know-how, die Infrastruktur, die Finanzen und / oder gut ausgestattete Arbeitsplätze fehlen, sind derartige Dienstleistungen nützlich. Auch ohne expliziten Hinweis richten sich diese Dienstleistungen somit ebenfalls in erster Linie an Start-ups und (junge) Unternehmen.</w:t>
      </w:r>
    </w:p>
    <w:p>
      <w:r>
        <w:rPr>
          <w:b/>
        </w:rPr>
        <w:t>E. 4</w:t>
      </w:r>
    </w:p>
    <w:p>
      <w:r>
        <w:t>Bei der Zeichenkombination BIOMED ACCELERATOR handelt es sich um eine Wortneuschöpfung, die aus zwei englischen Wörtern zusammengesetzt ist.</w:t>
      </w:r>
    </w:p>
    <w:p>
      <w:r>
        <w:rPr>
          <w:b/>
        </w:rPr>
        <w:t>E. 4.1</w:t>
      </w:r>
    </w:p>
    <w:p>
      <w:r>
        <w:t>Das erste Zeichenelement "biomed" enthält selbst zwei Bestandteile, nämlich "bio" und "med". "Bio..." ist ein auch im deutschen und französischen Sprachraum verwendetes Wortbildungselement mit den Bedeutungen "das Leben betreffend; Lebensvorgänge; Lebewesen; Lebensraum; gesund, natürlich, ohne chemische Zusätze" (Duden, Das Grosse Fremdwörterbuch, Mannheim / Leipzig / Wien / Zürich 1994, S. 203; Le Robert &amp; Collins, Paris 1987, S. 1064). "Med" ist eine Kurzform für "medicine" und bedeutet auf Deutsch "Medizin, Arznei, Heilkunde, ärztliche Wissenschaft" (Langenscheidt Handwörterbuch Englisch, Berlin / München / Wien / Zürich / New York 2005, S. 370; RKGE in sic! 1999 S. 557 E. 5 - Pedi-Med), auf Französisch "médecine" (Le Robert &amp; Collins, a.a.O., S. 1543). Zusammengesetzt bedeutet das erste Zeichenelement somit "Biomedizin". Das zweite Zeichenelement "accelerator" wird auf Deutsch mit "Beschleuniger, Gashebel, Gaspedal" übersetzt (Langenscheidt Handwörterbuch Englisch, a.a.O., S. 19), auf Französisch mit "accélérateur" (Le Robert &amp; Collins, a.a.O., S. 993). Nach den soeben dargestellten Bedeutungen in den Wörterbüchern heisst das hinterlegte Zeichen somit etwa "Biomedizin-Beschleuniger".</w:t>
      </w:r>
    </w:p>
    <w:p>
      <w:r>
        <w:rPr>
          <w:b/>
        </w:rPr>
        <w:t>E. 4.2</w:t>
      </w:r>
    </w:p>
    <w:p>
      <w:r>
        <w:t>Die Vorinstanz begründet ihre Rückweisung nicht mit dieser wörtlichen Übersetzung, sondern beruft sich darauf, dass das zweite Zeichenelement "accelerator" zunehmend in der Bedeutung von Gründer- respektive Innovationszentrum gebraucht werde. Die Verwendung des Begriffes "accelerator" im Sinne von Gründerzentrum lasse sich denn auch mit einer Internet-Recherche zur Begriffskombination "business accelerator" nachweisen. Die Beschwerdeführerin entgegnet, die Ausführungen der Vorinstanz zum Markenbestandteil "accelerator" seien nicht schlüssig, weil diese die Begriffskombination "business accelerator" zum Gegenstand gehabt hätten. Zu beurteilen sei indessen die Marke BIOMED ACCELERATOR und nicht BIOMED BUSINESS ACCELERATOR. Die von der Vorinstanz behauptete Zusatzbedeutung des Markenbestandteils "accelerator" im Sinne von "Gründerzentrum" finde sich in keinem anerkannten Wörterbuch. Ausländische Homepages könnten zwar einen Rückschluss auf das Zeichenverständnis in der Schweiz erlauben, sie müssten jedoch das Zeichen an sich betreffen und nicht in Kombination mit anderen Worten einen anderen Sinn ergeben. Homepages, die den Begriff "business accelerator" aufführten, könnten entsprechend nicht als Referenz für den Gemeingutcharakter der Marke BIOMED ACCELERATOR beigezogen werden. Ausserdem müssten die beigezogenen Webseiten auch ein Mindestmass an autoritativem Charakter aufweisen. Nicht jede private Webseite könne als wissenschaftliche Autorität bemüht werden. Die Kombination BIOMED ACCELERATOR habe demnach keine allgemein direkt verständliche Bedeutung. Sie sei eine sprachliche Neuschöpfung, die grammatikalische Unregelmässigkeiten aufweise.</w:t>
      </w:r>
    </w:p>
    <w:p>
      <w:r>
        <w:rPr>
          <w:b/>
        </w:rPr>
        <w:t>E. 4.2.1</w:t>
      </w:r>
    </w:p>
    <w:p>
      <w:r>
        <w:t>Um ein Zeichen vom Markenschutz auszuschliessen, muss es nicht zwingend in einem Wörterbuch aufgeführt sein (Urteil des Bundesgerichts 4C.3/1999 vom 18. Januar 2000 E. 3a - Campus). Auch neue, bisher ungebräuchliche Ausdrücke können beschreibend sein, wenn sie nach dem Sprachgebrauch oder den Regeln der Sprachbildung von den beteiligten Verkehrskreisen als Aussage über bestimmte Eigenschaften der Ware oder Dienstleistung aufgefasst werden (RKGE in sic! 2006 S. 579 E. 6 - Swisspartners [fig.], RKGE in sic! 2005 S. 467 E. 3 - Boysworld; Urteile des Bundesgerichts 4A_265/2007 vom 26. September 2007 E. 2.1 - American Beauty, und 4A.5/2003 vom 22. Dezember 2003 E. 3.1 - Discovery Travel &amp; Adventure Channel; DAVID, Kommentar MSchG, Art. 2, N. 10; MARBACH, SIWR III/1, N. 285). Es genügt, wenn das Wort heute zwar noch nicht allgemein gebraucht wird, dessen Sinn aber für die Kreise, an die es sich richtet, auf der Hand liegt (DAVID, Kommentar MSchG, Art. 2, N. 9). Selbst grammatikalische Unregelmässigkeiten, wie sie die Beschwerdeführerin im strittigen Zeichen erkennt, schliessen nicht aus, dass das Zeichen von den massgebenden Verkehrskreisen als Aussage über bestimmte Eigenschaften der Ware oder Dienstleistung aufgefasst wird (vgl. Urteil des Bundesgerichts 4A.5/2003 vom 22. Dezember 2003 E. 3.2 - Discovery Travel &amp; Adventure Channel).</w:t>
      </w:r>
    </w:p>
    <w:p>
      <w:r>
        <w:rPr>
          <w:b/>
        </w:rPr>
        <w:t>E. 4.2.2</w:t>
      </w:r>
    </w:p>
    <w:p>
      <w:r>
        <w:t>Bezüglich der Konsultierung von ausländischen Internetseiten räumt die Beschwerdeführerin zu Recht ein, dass solche bei der Markenprüfung herangezogen werden dürfen, um Hinweise auf den Bekanntheitsgrad von Begriffen für schweizerische Verkehrskreise zu liefern (Urteile des Bundesverwaltungsgerichts B-8371/2007 vom 19. Juni 2008 E. 5.3 - Leader, und B-181/2007 vom 21. Juni 2007 E. 4.4 - Vuvuzela). Vorauszusetzen ist indessen, dass diese in einer der Landessprachen oder Englisch abgefasst sind (MARBACH, SIWR III/1, N. 228; Urteil des Bundesverwaltungsgerichts B-181/2007 vom 21. Juni 2007 E. 4.4 - Vuvuzela). Sowohl in- als auch ausländische Internetseiten können Indizien für den Sprachgebrauch liefern. Indessen ist jeweils eine kritische Prüfung der jeweiligen Fundstellen angezeigt, unter anderem weil Webseiten jederzeit geändert werden können, nicht zuletzt vom jeweiligen Markenhinterleger respektive von interessierten Dritten (vgl. MATTHIAS U. STUDER, Anmerkung zum Urteil B-181/2007 des Bundesverwaltungsgerichts vom 21. Juni 2007 - Vuvuzela; MARBACH, SIWR III/1, N. 229 f.).</w:t>
      </w:r>
    </w:p>
    <w:p>
      <w:r>
        <w:rPr>
          <w:b/>
        </w:rPr>
        <w:t>E. 4.2.3</w:t>
      </w:r>
    </w:p>
    <w:p>
      <w:r>
        <w:t>Mit der Beschwerdeführerin ist dafür zu halten, dass die Internet-Suchergebnisse der Vorinstanz nicht oder nur bedingt verwertbar sind, soweit sie den vom hinterlegten Zeichen nicht verwendeten Begriff "business accelerator" betreffen. Es ist daher primär auf andere Internet-Seiten und Dokumente abzustellen, auf welchen der Begriff "accelerator" losgelöst vom Wort "business" gebraucht wird (vgl. etwa Interview mit Olaf J. Böhme, Präsident von IDEE-Suisse, auf www.kmu.admin.ch [Interviews 2008]; www.theark.ch/de/services/accelerateur/ presentation; www.startzentrum.ch/de/dienstleistungen/lexikon [accelerator]; www.saentis-investment.ch/Glossar; Artikel des Tages-Anzeigers vom 14. August 2001 S. 25 "McKinsey: Kratzer im Lack"). Nach diesen Quellen ist ein Accelerator eine Institution, die durch intensives Coaching jungen Unternehmen zu einer schnellen Entwicklung verhilft (www.startzentrum.ch/de/dienstleistungen/lexikon [accelerator], www.saentis-investment.ch/Glossar). Die Vorinstanz ver-wendet hierfür den Begriff "Gründerzentrum". Die Fondation "The Ark" in Sion (VS) definiert den von ihr betriebenen Accelerator etwas ausführlicher folgendermassen: "Der Accelerator von The Ark fördert und begleitet die Entwicklung neuer Produkte und Dienstleistungen. Er sorgt für die Identifizierung und Auswahl zukunftsträchtiger Tech-nologien, fördert ihre Entwicklung und erarbeitet zugleich die Grundlage für die Gründung der Unternehmen. Er baut damit Brücken zwischen der Wissenschaft und dem Markt, zwischen dem akademischen Bereich und der Geschäftswelt" (www.theark.ch/de/services/accelerateur/ presentation). In der Schweiz existieren zahlreiche Technologie- und Gründerzentren, welche derartige und ähnliche Dienstleistungen anbieten (Übersicht unter www.swissparks.ch). Wird das zweite Zeichenelement "accelerator" im Sinne von "Gründerzentrum" verstanden, bedeutet die strittige Marke "Biomedizin Gründerzentrum". Sie wird von den angesprochenen start-ups und Jungunternehmern im Bereiche der Biomedizin, welche allesamt über erhöhte Englischkenntnisse verfügen (vgl. Urteil des Bundesverwaltungsgerichts B-3394/2007 vom 29. September 2008 E. 4.2 - Salesforce.com), auch so verstanden werden.</w:t>
      </w:r>
    </w:p>
    <w:p>
      <w:r>
        <w:rPr>
          <w:b/>
        </w:rPr>
        <w:t>E. 5</w:t>
      </w:r>
    </w:p>
    <w:p>
      <w:r>
        <w:t>Die Vorinstanz führte in der angefochtenen Verfügung aus, in Verbindung mit sämtlichen beanspruchten Dienstleistungen erkenne der angesprochene Abnehmer direkt, dass die Dienstleistungen von einem "Accelerator" erbracht würden, der auf Start-ups im Bereich Biomedizin spezialisiert sei. Der Abnehmer verstehe das Zeichen direkt und ohne zu zögern als Hinweis auf die Art des Dienstleistungserbringers und das Gebiet der von ihm angebotenen Dienstleistungen respektive die Branche, auf welche das Gründerzentrum spezialisiert sei, nämlich die Biomedizin. Dem hält die Beschwerdeführerin entgegen, ein Hinweis auf den Dienstleistungserbringer (der im vorliegenden Fall jedoch auf Grund des unklaren Sinngehalts der Marke ohnehin zu verneinen sei) könne nicht dazu führen, dass ein Zeichen gestützt auf Art. 2 Bst. a MSchG zurückgewiesen werde, da sonst die Legaldefinition der Marke und die gesetzlich definierten absoluten Ausschlussgründe ignoriert würden. Ein Hinweis auf den Dienstleistungserbringer könne nicht dazu führen, dass ein Zeichen nicht geeignet sei, seine gemäss Legaldefinition von Art. 1 MSchG vorgesehene Funktion zu erfüllen.</w:t>
      </w:r>
    </w:p>
    <w:p>
      <w:r>
        <w:rPr>
          <w:b/>
        </w:rPr>
        <w:t>E. 5.1</w:t>
      </w:r>
    </w:p>
    <w:p>
      <w:r>
        <w:t>Nach der Legaldefinition von Art. 1 Abs. 1 MSchG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(BGE 122 III 382 E. 1 - Kamillosan; Urteil des Bundesgerichts 4C.3/1999 vom 18. Januar 2000 E. 2a - Campus). Darüberhinaus bezweckt die Marke, als Herkunftsmerkmal in unmissverständlicher Weise auf den Hersteller und seinen Betrieb (bzw. den Dienstleistungserbringer) hinzuweisen (Urteil des Bundes-verwaltungsgerichts B-7420/2006 vom 10. Dezember 2007 E. 2.1 - Workplace, mit Verweis auf BGE 128 III 454 E. 2 - Yukon). Trotz des soeben genannten Zwecks einer Marke, auf einen Hersteller und seinen Betrieb respektive auf den Dienstleistungserbringer hinzuweisen, ist indessen nicht ausgeschlossen, dass eine Marke, welche selbst einen Hinweis auf den Dienstleistungserbringer oder Produzenten gibt, beschreibend ist. So entschied das Bundesgericht hinsichtlich des Zeichens "Ecole internationale d'esthéticiennes-visagistes", dass dieses schlicht und einfach eine internationale Einrichtung zur Ausbildung von Kosmetikerinnen-Visagistinnen bezeichne. Angewendet auf das Waren- und Dienstleistungsverzeichnis, wecke das Zeichen selbst eine Ideenverbindung zur Eigenheit der beanspruchten Waren oder zum Inhalt der beanspruchten Druckereierzeugnisse (Schönheitspflege oder Kosmetik). Es entbehre daher jeder Unterscheidungskraft (BGE 94 I 74 E. 2 - Ecole internationale d'esthéticiennes-visagistes). Die Vorinstanz verweist zudem auf zwei Entscheide der Rekurskommission für geistiges Eigentum. Im unveröffentlichten Entscheid "Enterprise" (MA-AA 03/95) wurde das Zeichen "Enterprise" auf Grund seiner Freihaltebedürftigkeit als dem Gemeingut zugehörig qualifiziert (E. 3 des genannten Entscheids). Es wäre zudem nicht geeignet, die mit ihm gekennzeichneten Waren und Dienstleistungen herkunftsmässig zu unterscheiden, weshalb das Zeichen auch mangels Unterscheidungskraft hätte zurückgewiesen werden können (vgl. WILLI, a.a.O., Art. 1, N. 17). Im Entscheid "Swiss Business Hub" (RKGE in sic! 2004 S. 573) erklärte die Rekurskommission für geistiges Eigentum, die Bezeichnung "Swiss Business Hub" (auf deutsch "Schweizerisches Geschäftszentrum", "Schweizerische Drehscheibe für Geschäfte") sei eine direkte Aussage über den Ort, wo die beanspruchten Dienstleistungen erbracht würden. Sie sei nicht geeignet, die entsprechend gekennzeichneten Dienstleistungen zu individualisieren, weshalb die nach dem Gesetz erforderliche Unterscheidungskraft fehlen würde (RKGE in sic! 2004 S. 573 E. 4 - Swiss Business Hub; vgl. auch RKGE in sic! 2005 S. 467 E. 8 - Boysworld).</w:t>
      </w:r>
    </w:p>
    <w:p>
      <w:r>
        <w:rPr>
          <w:b/>
        </w:rPr>
        <w:t>E. 5.2</w:t>
      </w:r>
    </w:p>
    <w:p>
      <w:r>
        <w:t>Das im vorliegenden Fall strittige Zeichen bezeichnet eine im örtlichen Sinn (wie das in E. 5.1 erwähnte Beispiel "Swiss Business Hub") und / oder im funktionellen Sinn (wie das ebenfalls in E. 5.1 genannte Beispiel "Ecole internationale d'esthéticiennes-visagistes") verstandene Einrichtung, nämlich ein Gründerzentrum, welches auf Biomedizin spezialisierte start-ups unterstützt und Dienstleistungen anbietet, wie sie die Beschwerdeführerin für das hinterlegte Zeichen beansprucht. Das Zeichen ist daher beschreibend für die Fachkreise, welche auf Grund ihrer erweiterten Englisch-Kenntnisse das Zeichen inhaltlich richtig mit "Biomedizin-Gründerzentrum" übersetzen. Für die auch angesprochenen Durchschnittskonsumenten, welche die strittige Marke, wenn überhaupt, mit "Biomedizin Beschleuniger" übersetzen, beschreibt die strittige Marke dagegen kaum direkt die beanspruchten Dienstleistungen, da sie keinen Zusammenhang zwischen dem technisch klingenden Begriff "Beschleuniger" und den beanspruchten Dienstleistungen herstellen können.</w:t>
      </w:r>
    </w:p>
    <w:p>
      <w:r>
        <w:rPr>
          <w:b/>
        </w:rPr>
        <w:t>E. 6</w:t>
      </w:r>
    </w:p>
    <w:p>
      <w:r>
        <w:t>Die Vorinstanz argumentierte in der angefochtenen Verfügung zusätzlich, das strittige Zeichen sei freihaltebedürftig. Wohl in der Annahme, dass die Vorinstanz damit das absolute Freihaltebedürfnis anspricht (was die Vorinstanz in ihrer Vernehmlassung vom 8. Mai 2009 verneint), hält die Beschwerdeführerin dem entgegen, Zeichen des Gemeinguts könnten aus dogmatischen Gründen gar nicht absolut freihaltebedürftig sein. Denn ein absolutes Freihaltebedürfnis gebe es gemäss den gesetzlichen Bestimmungen allein bei den absoluten Ausschlussgründen nach Art. 2 Bst. b MSchG. Ein Zeichen, das sich mit einer Schutzverweigerung gestützt auf Art. 2 Bst. a MSchG konfrontiert sehe, könne immer kraft Verkehrsdurchsetzung Markenschutz erlangen.</w:t>
      </w:r>
    </w:p>
    <w:p>
      <w:r>
        <w:rPr>
          <w:b/>
        </w:rPr>
        <w:t>E. 6.1</w:t>
      </w:r>
    </w:p>
    <w:p>
      <w:r>
        <w:t>Dieser Auffassung ist die bundesgerichtliche Rechtsprechung entgegenzuhalten, wonach auch Zeichen des Gemeingutes (Art. 2 Bst. a MSchG) absolut freihaltebedürftig sein können. So erklärte das Bundesgericht, im Gegensatz zur Regelung von Art. 2 Bst. b MSchG, die ein absolutes Freihaltebedürfnis vorsehe für Formen, die das Wesen der Ware ausmachen, und Formen der Ware oder Verpackung, die technisch notwendig sind, behalte Art. 2 Bst. a MSchG für im Gemeingut stehende Zeichen einen markenrechtlichen Schutz im Falle der Verkehrsdurchsetzung ausdrücklich vor. Während sich demnach Zeichen, die als Gemeingut gälten, im Verkehr als Marke für die beanspruchten Waren oder Dienstleistungen durchsetzen könnten, lasse sich das Schutzhindernis bei den von Art. 2 Bst. b MSchG erfassten Formen auch nicht durch Verkehrsdurchsetzung überwinden. Zeichen, die Gemeingut seien, könnten daher grundsätzlich nach Art. 2 Bst. a MSchG mittels Durchsetzung im Verkehr Kennzeichnungskraft und markenrechtlichen Schutz erlangen, soweit im Einzelfall nicht ein absolutes Freihaltebedürfnis bestehe (BGE 134 III 314 E. 2.3.2 - M, mit Verweis auf BGE 131 III 121 E. 2 - Smarties und BGE 129 III 514 E. 2.3 - Lego; Urteil des Bundesgerichts 4A_370/2008 vom 1. Dezember 2008 E. 5 f. - Post ). Der Grund für die soeben genannte Differenzierung wird darin gesehen, dass bei Farben, Formen, Positionen etc. die Ausweichmöglichkeiten viel beschränkter seien, und sich die Frage nach der Grenze der Verkehrsdurchsetzung viel akzentuierter stelle als bei traditionellen Wort- und Bildzeichen. Für Waren- und Verpackungsformen habe der Gesetzgeber diese Grenze deshalb unmittelbar im Gesetz (vgl. Art. 2 Bst. b MSchG) festgehalten (vgl. MARBACH, SIWR III/1, N. 449 f.). Auch das Bundesverwaltungsgericht setzt in ständiger Rechtsprechung für die Überwindung des Schutzausschlussgrundes des Gemeingutes voraus, dass kein absolutes Freihaltebedürfnis vorliegt (vgl. Urteile des Bundesverwaltungsgerichts B-3394/2007 vom 29. September 2008 E. 6.1 - Salesforce.com, B-958/2007 vom 9. Juni 2008 E. 6.1.1 - Post, B-5518/2007 vom 18. April 2008 E. 4.1 - Peach Mallow; vgl. auch RKGE in sic! 2004 S. 216 E. 2 - Grimselstrom, mit Hinweisen). Zusammenfassend ist festzuhalten, dass es entgegen der Auffassung der Beschwerdeführerin auch bei Zeichen des Gemeinguts ein absolutes Freihaltebedürfnis geben kann, obwohl diese durch Verkehrsdurchsetzung nicht überwindbare Art des Freihaltebedürfnisses nicht ausdrücklich in der massgebenden Bestimmung (Art. 2 Bst. a MSchG) erwähnt ist.</w:t>
      </w:r>
    </w:p>
    <w:p>
      <w:r>
        <w:rPr>
          <w:b/>
        </w:rPr>
        <w:t>E. 6.2</w:t>
      </w:r>
    </w:p>
    <w:p>
      <w:r>
        <w:t>Die Beschwerdeführerin verneint nicht nur in grundsätzlicher Art, sondern auch konkret das Vorliegen eines Freihaltebedürfnisses. Denn der Wirtschaftsverkehr sei nicht darauf angewiesen, ein Phantasiewort benutzen zu können, da Phantasiewörter gerade das Gegenteil von Zeichen darstellten, auf die der Verkehr angewiesen sei.</w:t>
      </w:r>
    </w:p>
    <w:p>
      <w:r>
        <w:rPr>
          <w:b/>
        </w:rPr>
        <w:t>E. 6.2.1</w:t>
      </w:r>
    </w:p>
    <w:p>
      <w:r>
        <w:t>Im Interesse eines funktionierenden Wettbewerbs müssen Zeichen vom Markenschutz ausgeschlossen und für den Wirtschaftsverkehr freigehalten werden, an denen ein überwiegendes Interesse der übrigen aktuellen und potenziellen Konkurrenten besteht. Ein einzelner Gewerbetreibender soll nicht ein Zeichen monopolisieren dürfen, das auf Grund seines Sinngehalts für andere Gewerbetreibende von Bedeutung ist oder in Zukunft noch werden könnte (Urteil des Bundesverwaltungsgerichts B-3394/2007 vom 29. September 2008 E. 5.9 - Salesforce.com, mit Verweis u.a. auf BGE 131 III 121 E. 4.1 ff. - Smarties).</w:t>
      </w:r>
    </w:p>
    <w:p>
      <w:r>
        <w:rPr>
          <w:b/>
        </w:rPr>
        <w:t>E. 6.2.2</w:t>
      </w:r>
    </w:p>
    <w:p>
      <w:r>
        <w:t>In der Schweiz existiert wie erwähnt eine Reihe von Gründerzentren (Überblick unter www.swissparks.ch). Sie unterstützen start-ups in den verschiedensten Bereichen, unter anderem in der Biomedizin (vgl. die Technoparks in Zürich, Winterthur und Luzern [www.technopark.ch ? Firmenindex, Stichwort "Biomedizin"]). Wenn diese Gründerzentren in ihrem Namen auf ihr Betätigungsfeld hinweisen, wird es den start-ups erleichtert, sich auf Anhieb an das auf sie zugeschnittene Gründerzentrum zu wenden. Es besteht daher bezüglich der beanspruchten und auf start-ups zugeschnittenen Dienstleistungen in den Klassen 35, 36, 37, 39 und 42 ein grosses Interesse der aktuellen, aber auch der potenziellen Konkurrenten, welche ein Gründerzentrum im Bereich der Biomedizin betreiben respektive zu eröffnen beabsichtigen, den Begriff BIOMED ACCELERATOR auch verwenden zu dürfen. Am hinterlegten Zeichen BIOMED ACCELERATOR besteht daher entgegen der Meinung der Beschwerdeführerin ein (relatives) Freihaltebedürfnis. Da die Beschwerdeführerin zudem nicht geltend macht, das Zeichen habe sich im Verkehr durchgesetzt, stellt das strittige Zeichen Gemeingut im Sinne von Art. 2 Bst. a MSchG dar.</w:t>
      </w:r>
    </w:p>
    <w:p>
      <w:r>
        <w:rPr>
          <w:b/>
        </w:rPr>
        <w:t>E. 7</w:t>
      </w:r>
    </w:p>
    <w:p>
      <w:r>
        <w:t>Im Weiteren weist die Beschwerdeführerin darauf hin, dass die Marke BIOMED ACCELERATOR in den USA eingetragen worden sei.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dem von der Beschwerdeführerin zum Vergleich angerufenen identischen Zeichen, welches in den USA eingetragen worden ist, handelt es sich um eine Eintragung, die in einem Staat erfolgte, für den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Urteil des Bundesverwaltungsgerichts B-653/2009 vom 14. April 2009 E. 6.1 - Express Advantage). Die Beschwerdeführerin kann daher aus der Eintragung des Zeichens BIOMED ACCELERATOR im Ausland nichts zu ihren Gunsten ableiten.</w:t>
      </w:r>
    </w:p>
    <w:p>
      <w:r>
        <w:rPr>
          <w:b/>
        </w:rPr>
        <w:t>E. 8</w:t>
      </w:r>
    </w:p>
    <w:p>
      <w:r>
        <w:t>Schliesslich verweist die Beschwerdeführerin auf die Schweizer Voreintragungen Nr. 566'200 LIFE SCIENCE ACCELERATOR und Nr. 562'483 SCIENCE ACCELERATOR. Die erstgenannte Marke wurde am 21. März 2007 von der Beschwerdeführerin hinterlegt und am 3. Januar 2008 ins Markenregister für verschiedene (und fast identische wie die von der strittigen Marke beanspruchten) Dienstleistungen der Klassen 35, 36, 37, 39 und 42 eingetragen. Das zweitgenannte Zeichen wurde am 22. März 2007 von der Beschwerdeführerin hinterlegt und am 18. September 2007 für weitgehend dieselben Dienstleistungen ins Markenregister eingetragen.</w:t>
      </w:r>
    </w:p>
    <w:p>
      <w:r>
        <w:rPr>
          <w:b/>
        </w:rPr>
        <w:t>E. 8.1</w:t>
      </w:r>
    </w:p>
    <w:p>
      <w:r>
        <w:t>Nachdem feststeht, dass die Vorinstanz das Zeichen BIOMED ACCELERATOR bundesrechtskonform dem Gemeingut zugeordnet hat, kann mit der (sinngemässen)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vom 4A.5/2004 vom 25. November 2004 E. 4.3 - Firemaster, mit Verweis auf BGE 127 I 1 E. 3a; Urteile des Bundesverwaltungsgerichts B-7412/2006 vom 1. Oktober 2008 E. 10 - Afri-Cola und B-7395/2006 vom 16. Juli 2007 E. 11 ff. - Projob). Hinsichtlich der von der Beschwerdeführerin genannten Voreintragungen bringt die Vorinstanz vor, die Schweizer Marke Nr. 562'483 SCIENCE ACCELERATOR sei auf Grund des Zeichenelements "science" zum Markenschutz zugelassen worden. Der Begriff "Wissenschaft" bedürfe eines zusätzlichen präzisierenden Elements, damit man in der Kombination mit "accelerator" einen direkt beschreibenden Charakter erkennen würde. Die Voreintragung CH-Nr. 566'200 LIFE SCIENCE ACCELERATOR sei demgegenüber als Fehleintrag zu werten. Dagegen habe sie weitere Markeneintragungsgesuche der Beschwerdeführerin, die über eine identische oder sehr ähnliche Dienstleistungsliste und einen vergleichbaren Zeichenaufbau verfügten, zurückgewiesen (Gesuche Nr. 52967/2007 BIOMEDICAL ACCELERATOR und 53199/2007 BIOTECHNOLOGY ACCELERATOR). Auf Grund dieser Äusserungen der Vorinstanz ist nicht davon auszugehen, dass die Vorinstanz gewillt ist, Markeneintragungsgesuche, die wie das vorliegend zu beurteilende hinsichtlich der Dienstleistungsliste und des Zeichenaufbaus mit der Schweizer Marke Nr. 566'200 LIFE SCIENCE ACCELERATOR vergleichbar sind (identische oder ähnliche Dienstleistungsliste sowie dem Begriff "accelerator" vorangestellter konkreter Wissenschaftsbereich, was auf die Voreintragung CH-Nr. 562'483 SCIENCE ACCELERATOR nicht zutrifft), gutzuheissen. Damit sind die Voraussetzungen für den Anspruch auf Gleichbehandlung im Unrecht nicht erfüllt. Zudem ist darauf hinzuweisen, dass nach bundesgerichtlicher Praxis der Markeninhaber gegenüber sich selbst keinen Anspruch auf Gleichbehandlung im Unrecht geltend machen kann (Urteile des Bundesgerichts 4A.5/2003 vom 22. Dezember 2003 E. 4 - Discovery Travel &amp; Adventure Channel, und 4A.13/1995 vom 20. August 1996 E. 5c - Elle, publiziert in sic! 1997 S. 159).</w:t>
      </w:r>
    </w:p>
    <w:p>
      <w:r>
        <w:rPr>
          <w:b/>
        </w:rPr>
        <w:t>E. 8.2</w:t>
      </w:r>
    </w:p>
    <w:p>
      <w:r>
        <w:t>Mit dem Verweis auf die Schweizer Voreintragungen Nr. 566'200 LIFE SCIENCE ACCELERATOR und Nr. 562'483 SCIENCE ACCELERATOR beruft sich die Beschwerdeführerin auch sinngemäss auf den in Art. 9 BV verankerte Grundsatz von Treu und Glauben. Dieser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mit Verweis u.a. auf BGE 126 II 377 E. 3a und BGE 118 Ia 245 E. 4b; vgl. auch ULRICH HÄFELIN / GEORG MÜLLER / FELIX UHLMANN, Allgemeines Verwaltungsrecht, 5. A., Zürich / Basel / Genf 2006, N. 622 ff.). Präjudizien, insbesondere Grund-satzentscheide, können eine Grundlage des Vertrauensschutzes bilden. Kein Verlass ist hingegen auf eine schwankende Praxis, die es vermeidet, sich bezüglich einer Streitfrage eindeutig zu äussern (HÄFELIN / MÜLLER / UHLMANN, a.a.O., N. 638, mit Verweis auf BGE 117 Ia 119 E. 2). Wie bereits ausgeführt, ist lediglich die Voreintragung CH-Nr. 566'200 LIFE SCIENCE ACCELERATOR mit der hier strittigen Anmeldung vergleichbar, welche indessen von der Vorinstanz als Fehleintrag gewertet worden ist. Dagegen hat die Vorinstanz die ebenfalls vergleichbaren Gesuche Nr. 52967/2007 BIOMEDICAL ACCELERATOR und 53199/2007 BIOTECHNOLOGY ACCELERATOR der Beschwerdeführerin zurückgewiesen. Insofern kann sich die Beschwerdeführerin nicht auf eine ständige Praxis in vergleichbaren Fällen berufen, sondern lediglich auf eine fehlerhafte Eintragung in einem Einzelfall, wodurch kein berechtigtes Vertrauen geschaffen wird (Urteil des Bundesverwaltungsgerichts B-1611/2007 vom 7. Oktober 2008 E. 7.2 - Laura Biagiotti Aqua di Roma).</w:t>
      </w:r>
    </w:p>
    <w:p>
      <w:r>
        <w:rPr>
          <w:b/>
        </w:rPr>
        <w:t>E. 9</w:t>
      </w:r>
    </w:p>
    <w:p>
      <w:r>
        <w:t>Zusammenfassend ist festzuhalten, dass das strittige Zeichen BIOMED ACCELERATOR für sämtliche beanspruchten Dienstleistungen der Klassen 35, 36, 37, 39 und 42 Gemeingut im Sinne von Art. 2 Bst. a MSchG darstellt.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