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B-915/2009 vom 26. November 2009</w:t>
      </w:r>
    </w:p>
    <w:p>
      <w:r>
        <w:t>Bundesverwaltungsgericht, 2009-11-26, FR</w:t>
      </w:r>
    </w:p>
    <w:p>
      <w:r>
        <w:rPr>
          <w:b/>
        </w:rPr>
        <w:t xml:space="preserve">Quelle: </w:t>
      </w:r>
      <w:r>
        <w:t>https://mcp.opencaselaw.ch/entscheid/bvger_B-915_2009</w:t>
      </w:r>
    </w:p>
    <w:p>
      <w:r>
        <w:t>FR: TAF B-915/2009 du 26 novembre 2009</w:t>
      </w:r>
    </w:p>
    <w:p>
      <w:r>
        <w:t>IT: TAF B-915/2009 del 26 novembre 2009</w:t>
      </w:r>
    </w:p>
    <w:p>
      <w:pPr>
        <w:pStyle w:val="Heading2"/>
      </w:pPr>
      <w:r>
        <w:t>Regeste</w:t>
      </w:r>
    </w:p>
    <w:p>
      <w:r>
        <w:t>Motifs absolus d'exclusion</w:t>
      </w:r>
    </w:p>
    <w:p>
      <w:pPr>
        <w:pStyle w:val="Heading2"/>
      </w:pPr>
      <w:r>
        <w:t>Erwägungen</w:t>
      </w:r>
    </w:p>
    <w:p>
      <w:r>
        <w:rPr>
          <w:b/>
        </w:rPr>
        <w:t>E. 4</w:t>
      </w:r>
    </w:p>
    <w:p>
      <w:r>
        <w:t>Sur le vu de l'ensemble de ce qui précède, force est de constater que le terme "Virginia" sera compris par les destinataires des produits comme un renvoi à l'Etat américain de Virginie et que la recourante ne peut se prévaloir d'aucune des catégories d'exceptions développées par la jurisprudence. Il est vrai que le mot "Virginia" n'est que l'un des éléments composant la marque "VIRGINIA SLIMS NO. 602". Cela étant, le Tribunal fédéral n'opère pas de distinction selon que le signe contient, entre autres éléments, un nom géographique ou s'il se compose exclusivement d'un nom géographique (cf. ATF 135 III 416 consid. 2.2 Calvi [fig.]). Ainsi, du moment qu'apparaît un tel nom dans la marque, il éveille forcément chez le consommateur l'idée que le produit qu'elle couvre provient du pays désigné, à moins que l'on se trouve dans l'une des catégories d'exceptions examinées précédemment (consid. 3). Qui plus est, les éléments verbaux supplémentaires contenus dans le signe litigieux ne sont pas à même d'en modifier l'impression d'ensemble dans une mesure telle que des attentes quant à l'origine des produits seraient exclues (cf. supra consid. 2.4.4 ; arrêt du TF 4A_508/2008 du 10 mars 2009 consid. 4.2 Afri-Cola).</w:t>
      </w:r>
    </w:p>
    <w:p>
      <w:r>
        <w:rPr>
          <w:b/>
        </w:rPr>
        <w:t>E. 5</w:t>
      </w:r>
    </w:p>
    <w:p>
      <w:r>
        <w:t>Par ailleurs, l'admission de l'enregistrement en raison d'un doute, tel que requis par la recourante, ne se justifie pas en l'espèce. D'une part, l'existence d'un doute apparaît pour le moins discutable. D'autre part, s'il est en effet admis qu'en cas de doute sur l'appartenance d'un signe au domaine public au sens de l'art. 2 let. a LPM, la marque doit en principe être enregistrée et la décision finale laissée au juge civil dans l'hypothèse d'une éventuelle procédure ultérieure (ATF 130 III 328 consid. 3.2 Swatch, ATF 129 III 225 consid. 5.3 Masterpiece, ATF 103 Ib 268 consid. 3b Red &amp; White), ce principe n'est cependant pas valable pour les signes propres à induire en erreur au sens de l'art. 2 let. c LPM (EUGEN MARBACH, Markenrecht, in: Roland von Büren/Lucas David [éd.], Schweizerisches Immaterialgüter- und Wettbewerbsrecht [SIWR], Markenrecht, vol. III/1, Bâle 1996, n. marg. 240 ; Feuille suisse des brevets, dessins et marques [FDMB] 1994 I 76 Alaska). Dès lors, le signe "VIRGINIA SLIMS NO. 602", considéré comme propre à induire en erreur, ne saurait être enregistré à la faveur d'un doute.</w:t>
      </w:r>
    </w:p>
    <w:p>
      <w:r>
        <w:rPr>
          <w:b/>
        </w:rPr>
        <w:t>E. 6</w:t>
      </w:r>
    </w:p>
    <w:p>
      <w:r>
        <w:t>Sur la base de l'enregistrement de marques antérieures comportant le terme "Virginia", la recourante se prévaut ensuite d'un droit à l'égalité de traitement. Ainsi, elle s'est fondée, dans ses différentes écritures, sur les marques suisses antérieures n° 547402 "VIRGINIA SLIMS DUO", n° 547051 "VIRGINIA SLIMS SHE", n° 552796 "VIRGINIA SLIMS ROSÉ" et n° 550051 "VIRGINIA SLIMS ROSE" dont elle est elle-même titulaire ainsi que les marques suisse n° 406609 "GOLDEN VIRGINIA" et internationale n° 747641 "PARAMOUNT VIRGINIA BLEND" enregistrées en faveur d'autres titulaires. L'Institut fédéral affirme être avant tout lié au principe de la légalité. Il rappelle les conditions auxquelles est soumise l'application du principe de l'égalité de traitement et indique par ailleurs que des décisions d'examen isolées ne sont pas réputées pratique de l'institut et ne sauraient ainsi fonder un droit à l'égalité de traitement. Après qu'il a été établi que l'autorité inférieure a, d'une manière conforme au droit fédéral, qualifié le signe "VIRGINIA SLIMS NO. 602" de trompeur, la recourante, en faisant valoir une violation du principe de l'égalité de traitement (art. 8 de la Constitution fédérale de la Confédération suisse du 18 avril 1999 [Cst., RS 101]), ne peut que se prévaloir d'une application de l'égalité dans l'illégalité. Selon la jurisprudence du Tribunal fédéral, le droit à un traitement égal dans l'illégalité ne sera reconnu qu'exceptionnellement, lorsque la pratique contraire au droit est constante et que l'autorité concernée donne à entendre qu'elle maintiendra cette pratique à l'avenir (arrêt du TF 4A.5/2004 du 25 novembre 2004 consid. 4.3 Firemaster avec renvoi à l'ATF 127 I 1 consid. 3a ; arrêts du Tribunal administratif fédéral B-7414/2006 du 1er octobre 2008 consid. 10 Afri-Cola et B-7395/2006 du 16 juillet 2007 consid. 11 ss Projob). Ainsi, il s'agit d'observer une certaine retenue, des décisions incorrectes de l'IPI ne pouvant servir indéfiniment de ligne directrice à sa pratique (arrêt du TF 4A.5/2004 consid. 4.3 Firemaster). En l'espèce, il sied de relever, d'une part, que la recourante est également titulaire, depuis 1999, de la marque P-467063 "VIRGINIA SLIMS PETITE" portant notamment sur des produits pour fumeurs, allumettes et briquets ; cet enregistrement a été admis avec une limitation aux produits en provenance des Etats-Unis d'Amérique conformément à la législation fédérale. Ainsi, l'on peut en premier lieu mettre en doute le fait que les enregistrements antérieurs puissent être qualifiés de pratique constante de l'IPI. D'autre part, l'IPI a clairement qualifié les enregistrements antérieurs invoqués par la recourante de décisions isolées qui ne sont pas réputées pratique de l'Institut. Il ne ressort ainsi pas des déclarations de l'Institut fédéral qu'il ait jamais manifesté son intention de poursuivre une pratique contraire à la loi. Dès lors, les conditions d'un droit à un traitement égal dans l'illégalité ne sont pas remplies. Au demeurant, selon la pratique du Tribunal fédéral, le déposant ne peut se prévaloir d'un droit à l'égalité de traitement en se fondant sur des enregistrements antérieurs dont il est le titulaire (arrêt du TF 4A.5/2003 du 22 décembre 2003, publié in : sic! 2004 400 consid. 4 Discovery Travel &amp; Adventure Channel ; Marbach, SIWR, n. marg. 235). Ainsi, la recourante ne peut pas se fonder sur les marques suisses n° 547402 "VIRGINIA SLIMS DUO", n° 547051 "VIRGINIA SLIMS SHE", n° 552796 "VIRGINIA SLIMS ROSÉ" et n° 550051 "VIRGINIA SLIMS ROSE" pour revendiquer une égalité de traitement. Au vu de ce qui précède, force est de constater que l'Institut fédéral n'a pas violé le principe de l'égalité de traitement en refusant d'enregistrer la marque "VIRGINIA SLIMS NO. 602" sans limitation pour les produits qui ne sont pas à base de tabac.</w:t>
      </w:r>
    </w:p>
    <w:p>
      <w:r>
        <w:rPr>
          <w:b/>
        </w:rPr>
        <w:t>E. 7</w:t>
      </w:r>
    </w:p>
    <w:p>
      <w:r>
        <w:t>En dernier lieu, la recourante se fonde sur les mêmes enregistrements antérieurs pour revendiquer un droit à la protection de sa bonne foi. Dits enregistrements concernent le même type de produits que la marque litigieuse, soit des produits à base de tabac aussi bien que des produits qui ne sont pas à base de tabac. L'autorité inférieure rappelle que des décisions d'examen isolées ne sont pas réputées pratique de l'institut et que, même si le déposant devait voir dans un enregistrement lui appartenant l'expression d'une pratique d'examen, il ne peut y fonder de droit, le principe général de la bonne foi n'offrant, selon la jurisprudence fédérale, aucune garantie contre les modifications matérielles de la pratique ; pour être protégé dans la confiance qu'il pourrait accorder à un acte concret d'application du droit, le déposant devrait être au bénéfice de l'assurance concrète et expresse de l'autorité qu'elle entend traiter ainsi à l'avenir des états de fait identiques ou semblables ; or une telle promesse ferait défaut en l'espèce.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lorsque les cinq conditions cumulatives suivantes sont réunies : 1) l'autorité est intervenue dans une situation concrète à l'égard de personnes déterminées ; 2) elle a agi ou est censée avoir agi dans les limites de ses compétences ; 3) l'administré n'a pas pu se rendre compte immédiatement de l'inexactitude du renseignement obtenu ; 4) il s'est fondé sur les assurances ou le comportement dont il se prévaut pour prendre des dispositions auxquelles il ne saurait renoncer sans subir de préjudice ; 5) enfin, la réglementation n'a pas changé depuis le moment où l'assurance a été donnée (ATF 131 II 627 consid. 6.1 et les réf. cit.). En l'espèce, il apparaît que la recourante n'a apporté ni preuve ni même indice du fait qu'elle aurait pris des dispositions irréversibles qu'elle ne saurait donc modifier sans subir un préjudice. Il faut dès lors admettre que l'une des conditions cumulatives de la protection de la bonne foi n'est pas remplie, ce qui suffit à nier l'application du principe de la bonne foi dans le cas d'espèce. Point n'est par conséquent besoin d'examiner les autres conditions. Il est vrai que l'on peut regretter le manque de rigueur qui semble avoir prévalu dans l'examen, par l'Institut fédéral, de certaines marques constituées d'une indication géographique et qui a conduit à des enregistrements contraires au droit fédéral. Toutefois, l'IPI s'est dernièrement montré plus restrictif dans sa pratique, laquelle a été confirmée par le Tribunal fédéral dans un arrêt récent (ATF 135 III 416 Calvi [fig.]) ; le Tribunal administratif fédéral n'entend pas s'en écarter. Par ailleurs, cela n'enlève rien au fait que la protection de la bonne foi est soumise à des conditions cumulatives dont l'une n'est en l'espèce pas remplies. Au vu de ce qui précède, le grief de la recourante tombe à faux.</w:t>
      </w:r>
    </w:p>
    <w:p>
      <w:r>
        <w:rPr>
          <w:b/>
        </w:rPr>
        <w:t>E. 8</w:t>
      </w:r>
    </w:p>
    <w:p>
      <w:r>
        <w:t>Il appert de ce qui précède que le recours interjeté par Philip Morris Products S.A. doit être rejeté. Les frais de procédure comprenant l'émolument judiciaire et les débours sont mis à la charge de la partie qui succombe (art. 63 al. 1 PA et art. 1 al. 1 du règlement concernant les frais, dépens et indemnités fixés par le Tribunal administratif fédéral du 21 février 2008 [FITAF, RS 173.320.2]). L'émolument judiciaire est calculé en fonction de la valeur litigieuse, de l'ampleur et de la difficulté de la cause, de la façon de procéder des parties et de leur situation financière (art. 2 al. 1 1ère phrase et 4 FITAF). La valeur litigieuse en matière de propriété intellectuelle est difficile à estimer. Selon la doctrine et la jurisprudence, elle s'élève généralement entre Fr. 50'000.- et Fr. 100'000.- (ATF 133 III 490 consid. 3.3). Au regard de ce qui précède, les frais de procédure doivent être fixés à Fr. 2'500.- et mis à la charge de la recourante, qui succombe. Ils seront imputés sur l'avance de frais de Fr. 3'500.- déjà versée. Le solde de Fr. 1'000.- sera restitué à la recourante dès l'entrée en force du présent arrêt.</w:t>
      </w:r>
    </w:p>
    <w:p>
      <w:r>
        <w:rPr>
          <w:b/>
        </w:rPr>
        <w:t>E. 9</w:t>
      </w:r>
    </w:p>
    <w:p>
      <w:r>
        <w:t>Il n'y a par ailleurs pas lieu d'allouer de dépens à la recourant qui succombe (art. 64 al. 1 PA en relation avec l'art. 7 al. 1 FITAF a contrario). L'IPI conclut à l'octroi de dépens. Toutefois, les autorités fédérales et, en règle générale, les autres autorités parties n'ont pas droit aux dépens (art. 7 al. 3 FITAF). Il en résulte que l'Institut fédéral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