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B-914/2011 vom 18. April 2012</w:t>
      </w:r>
    </w:p>
    <w:p>
      <w:r>
        <w:t>Bundesverwaltungsgericht, 2012-04-18, DE</w:t>
      </w:r>
    </w:p>
    <w:p>
      <w:r>
        <w:rPr>
          <w:b/>
        </w:rPr>
        <w:t xml:space="preserve">Quelle: </w:t>
      </w:r>
      <w:r>
        <w:t>https://mcp.opencaselaw.ch/entscheid/bvger_B-914_2011</w:t>
      </w:r>
    </w:p>
    <w:p>
      <w:r>
        <w:t>FR: TAF B-914/2011 du 18 avril 2012</w:t>
      </w:r>
    </w:p>
    <w:p>
      <w:r>
        <w:t>IT: TAF B-914/2011 del 18 aprile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lit.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Vorinstanz vom 11. Januar 2011. Die Beschwerdeführerin hat frist- und formgerecht Beschwerde erhoben (Art. 60 ATSG). Als Adressatin der angefochtenen Verfügung ist sie besonders berührt und hat ein schutzwürdiges Interesse an deren Änderung oder Aufhebung (Art. 59 ATSG). Damit ist auf die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w:t>
      </w:r>
    </w:p>
    <w:p>
      <w:r>
        <w:t>Vorab ist zu prüfen, welche Rechtsnormen im vorliegenden Verfahren zur Anwendung gelangen.</w:t>
      </w:r>
    </w:p>
    <w:p>
      <w:r>
        <w:rPr>
          <w:b/>
        </w:rPr>
        <w:t>E. 2.1</w:t>
      </w:r>
    </w:p>
    <w:p>
      <w:r>
        <w:t>Da die Beschwerdeführerin Schweizer Staatsbürgerin ist und das zwischen der Schweizerischen Eidgenossenschaft und Kanada am 24. Februar 1994 abgeschlossene Abkommen über Soziale Sicherheit (SR 0.831.109.232.1) nichts anderes bestimmt, richtet sich der Anspruch der Beschwerdeführerin auf eine Rente der schweizerischen Invalidenversicherung im Prinzip sowohl in materiellrechtlicher als auch in verfahrensrechtlicher Hinsicht nach schweizerischem Recht, insbesondere dem IVG, der Verordnung vom 17. Januar 1961 über die Invalidenversicherung (IVV, SR 831.201), dem ATSG sowie der entsprechenden Verordnung vom 11. September 2002 (ATSV, SR 830.11).</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11. Januar 2011 in Kraft standen (Bestimmungen der 5. IV-Revision). Noch keine Anwendung findet vorliegend das am 1. Januar 2012 in Kraft getretene erste Massnahmenpaket der 6. IV-Revision (IVG in der Fassung vom 18. März 2011 [AS 2011 5659]). 3.1. 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Im Streit liegt eine Verfügung, mit welcher die Vorinstanz auf eine Neuanmeldung nicht eingetreten ist. Das Bundesverwaltungsgericht hat dabei lediglich zu prüfen, ob die Vorinstanz zu Recht nicht auf die Neuanmeldung eingetreten ist (vgl. BGE 132 V 74 E. 1.1 m.w.H.). Soweit die Beschwerdeführerin beantragt, es sei ihr eine Rente zuzusprechen, ist deshalb auf die Beschwerde nicht einzutreten. Der Streitgegenstand beschränkt sich im vorliegenden Verfahren einzig auf die Frage, ob die Vorinstanz zu Recht auf das neue Gesuch der Beschwerdeführerin um Gewährung einer Invalidenrente nicht eingetreten ist. 3.2.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3.3. 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Nach Art. 17 des Sozialversicherungsabkommen zwischen der Schweiz und Kanada werden die nach der schweizerischen Gesetzgebung vorgesehenen ordentlichen Renten an Versicherte, die weniger als zur Hälfte invalid sind, nur bei Wohnsitz in der Schweiz gewährt. 3.4. Wurde eine Rente wegen eines zu geringen Invaliditätsgrades verweigert, so wird nach Art. 87 Abs. 4 der Verordnung vom 17. Januar 1961 über die Invalidenversicherung (IVV, SR 831.201) eine neue Anmeldung nur geprüft, wenn die Voraussetzungen gemäss Abs. 3 dieser Bestimmung erfüllt sind. Danach ist im Leistungsbegehren glaubhaft zu machen, dass sich der Grad der Invalidität der versicherten Person in einer für den Anspruch erheblichen Weise geändert hat. 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 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der Verfügung vom 4. November 2009. Diesem Ausgangszeitpunkt ist als aktuellem Referenzzeitpunkt der Zeitpunkt des Erlasses der angefochtenen Verfügung, vorliegend also der 11. Januar 2011, gegenüberzustellen (vgl. BGE 131 V 242 E. 2.1). Die Veränderung der Verhältnisse zwischen den beiden zeitlichen Referenzpunkten muss erheblich sein,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[EVG] I 658/05 vom 27. März 2006 E. 4.4) - ist die unterschiedliche Beurteilung eines im Wesentlichen unverändert gebliebenen Sachverhaltes unerheblich (BGE 112 V 371 E. 2b mit Hinweisen; Sozialversicherungsrecht - Rechtsprechung [SVR] 1996 IV Nr. 70 S. 204 E. 3a). 4.1. Bei der ursprünglichen Verfügung vom 4. November 2009 ging die Vorinstanz nach durchgeführter Sachverhaltsabklärung davon aus, dass die Beschwerdeführerin aufgrund ihrer Arthrose an der Wirbelsäule, den Schultern, den Knien und den Händen in der zuletzt ausgeübten Tätigkeit im Gastgewerbe eine Einschränkung der Arbeitsfähigkeit von 75 % und im Haushalt eine solche von 30 % aufweise. Hingegen sei sie in einer leichteren, dem Gesundheitszustand besser angepassten Tätigkeit, wie in einer leichten Büro- und Administrationstätigkeit (z.B. Rezeptionistin), 100 % arbeitsfähig. Die Vorinstanz verneinte einen Rentenanspruch bei einem berechneten Invaliditätsgrad von 41 % (IV act. 104). Gemäss den dargelegten Grundsätzen (E. 3.4 hiervor) ist nachfolgend zu prüfen, ob die Beschwerdeführerin im Rahmen der Neuanmeldung auf Grund der eingereichten medizinischen Unterlagen glaubhaft gemacht hat, dass sich ihr Gesundheitszustand bzw. ihre Erwerbsfähigkeit seit dem 4. November 2009 in anspruchserheblicher Weise verschlechtert hat, so dass die Vorinstanz auf das Rentengesuch hätte eintreten müssen. Dabei gilt festzuhalten, dass das Gericht bei der beschwerdeweisen Überprüfung in der Regel auf den Sachverhalt abstellt, wie er sich der Verwaltung bot. Im vorliegenden Verfahren sind jedoch nachfolgend nebst den ärztlichen Berichten, welche bis zum Erlass der angefochtenen Verfügung vom 11. Januar 2011 verfasst wurden, auch der Arztbericht neueren Datums zu würdigen, da dieser mit dem Streitgegenstand in engem Sachzusammenhang steht und geeignet ist, die Beurteilung im Verfügungszeitpunkt zu beeinflussen (vgl. BGE 116 V 80 E. 6b ZAK 1989 S. 111 E. 3b mit Hinweisen). 4.2. 4.2.1. Im Rahmen des Neuanmeldungsverfahrens reichte die Beschwerdeführerin bei der Vorinstanz den Arztbericht von Dr. med. M._______ vom 7. August 2010 sowie die von ihr ausgefüllten Fragebogen "Bath Ankylosing Spondylitis Disease Activity Index" (BASDAI) und "Health Assessment Questionnaire" (HAQ) ein (vgl. IV act. 107). Dr. med. M._______ führte in seinem Bericht aus, dass beide Handgelenke der Beschwerdeführerin geschwollen seien, was auf Osteoarthritis hindeuten würde. Die Beschwerdeführerin sei jedoch in der Lage, mit den Händen eine Faust zu machen. Sie habe Schmerzen beim Bewegen der linken Schulter, welche ihr das An- und Auskleiden erschweren würden. Zudem bestehe eine verminderte Beweglichkeit in der linken Hüfte. Die Beschwerdeführerin fühle sich zu mindestens 60 % arbeitsunfähig. Es würden weitere Untersuchungen hinsichtlich eines Morbus Bechterew durchgeführt. Der diesem Arztbericht beigelegte Bericht der Röntgenuntersuchung vom 18. Oktober 2010 ergibt, dass bei der Beschwerdeführerin an beiden Gelenken eine leichte Verengung mit marginaler Sklerose bestehe. Es bestünden jedoch keine Hinweise auf eine erosive Arthropathie und es seien auch keine anderen Anomalien zu sehen (vgl. IV act. 107). Der ebenfalls mit der Neuanmeldung eingereichte Arztbericht von Dr. med. M._______ vom 3. Mai 2009 wurde bereits beim ersten Rentenprüfungsverfahren, welches zur Abweisung des Leistungsbegehren führte, im Rahmen der medizinischen Sachverhaltsabklärung entsprechend berücksichtigt und gewürdigt (vgl. IV act. 95, 103, 110, 111). 4.2.2. Der RAD-Arzt Dr. med. B._______ führte in seiner Stellungnahme vom 12. November 2010 aus, dass Dr. med. M._______ bereits im Mai 2009 Beeinträchtigungen bezüglich einer degenerativen Arthritis vor allem an den Händen, den Schultern und der linken Hüfte beschrieben habe. Der Röntgenuntersuchungsbericht vom 18. Oktober 2010 zeige zwar degenerative Veränderungen, jedoch keine Anzeichen von Morbus Bechterew. Die Fragebogen BASDAI und HAQ zeigten eine subjektive Beurteilung der Beschwerdeführerin, welche nicht den von Dr. med. M._______ beschriebenen klinischen Befunden entspreche (vgl. IV act. 111). Es gilt festzuhalten, dass sowohl der Arztbericht von Dr. med. M._______ vom 7. August 2010 als auch der Röntgenuntersuchungsbericht vom 18. Oktober 2010 weitgehend die bereits im Zeitpunkt der rechtskräftigen Verfügung vom 4. November 2009 bekannten Diagnosen und Symptomatik bestätigen. Die Fragebogen BASDAI und HAQ basieren auf einer subjektiven Einschätzung der Beschwerdeführerin und sind daher mit Vorsicht zu würdigen. Es ist auf die nachvollziehbare Beurteilung des RAD-Arztes Dr. med. B._______ vom 12. November 2010 abzustellen, wonach die mit der Neuanmeldung eingereichten medizinischen Unterlagen keine neuen Elemente enthalten würden. 4.3. 4.3.1. Mit der Beschwerdeeingabe reichte die Beschwerdeführerin folgende, zu diesem Zeitpunkt noch nicht aktenkundige, medizinische Unterlagen ein: - Den in E. 4.2.1 bereits erwähnten Arztbericht von Dr. med. M._______ vom 3. Mai 2009, in welchem dieser bei der Beschwerdeführerin eine Osteoarthritis diagnostizierte und zudem ausführte, dass der Fragebogen HAQ auf einen hohen Grad der Behinderung weise und die Röntgenuntersuchung das Vorhandensein einer Arthropathie an mehreren kleinen Gelenken an Händen und Füssen zeigen würde. Die Beschwerdeführerin leide unter Rückenschmerzen und morgendlicher Steifheit. - Röntgenuntersuchungsbericht der Wirbelsäule vom 5. Mai 2009, gemäss welchem eine Degeneration der Bandscheibe bei L4-5 und L5-S1 sowie eine Arthrose der Facettengelenke auf diesen Ebenen bestehe. - Röntgenuntersuchungsbericht des Beckens vom 5. Mai 2009, gemäss welchem eine leichte Verengung der Gelenkräume bestehe. Der Grund dafür könne eine entzündliche Arthritis oder Osteoarthritis sein. Ansonsten bestünden keine weiteren deutlichen Anomalien. - Arztbericht von Dr. med. M._______ vom 2. Juni 2009, in welchem dieser ausführte, dass er aufgrund der Röntgenuntersuchungsergebnisse der Beschwerdeführerin einen HLA-B27 Test durchgeführt habe. Dieser sei positiv gewesen. Dies erhöhe die Wahrscheinlichkeit, dass die Beschwerdeführerin Morbus Bechterew habe. 4.3.2. Die Vorinstanz legte diese Berichte älteren Datums, welche bereits vor der ersten rechtskräftigen Verfügung vom 4. November 2009 erstellt worden sind, dem medizinischen Dienst zur Beurteilung vor. Der RAD-Arzt Dr. med. B._______ kam in seiner Stellungnahme vom 27. Mai 2011 zum Schluss, dass mit diesen Unterlagen weder neue objektive medizinische Pathologien noch eine Verschlechterung des Gesundheitszustandes vorgebracht würden, weshalb seine Einschätzung vom 12. November 2010 immer noch Geltung habe (vgl. IV act. 117). Die in diesen Berichten von Dr. med. M._______ gestellten Diagnosen stimmen weitgehend mit denjenigen Diagnosen überein, welche vor und nach diesem Zeitpunkt der Beschwerdeführerin attestiert worden sind. Die Beurteilung von Dr. med. B._______ ist aus diesem Grund nachvollziehbar und vermag zu überzeugen. 4.4. 4.4.1. Anlässlich der Replik reichte die Beschwerdeführerin einen weiteren Arztbericht von Dr. med. M._______ vom 21. August 2011 ein. Daraus geht hervor, dass die Beschwerdeführerin aufgrund Arthrose in Behandlung sei. Sie benötige Hilfe beim Anziehen, Laufen, Fahren und in weiteren wichtigen Lebensbereichen. Sie könne den grössten Teil der Haushaltsarbeiten nicht erledigen und könne auch kein Einkommen erwirtschaften. Dr. med. M._______ beurteilte die Beschwerdeführerin im Haushalt zu 90 % sowie im Erwerbsleben zu 95 % arbeitsunfähig und verwies dabei auf die Fragebogen HAQ und BASDAI. Mit diesem Bericht bestätigt Dr. med. M._______ wiederum die bereits bekannten Diagnosen und Symptomatik der Beschwerdeführerin, was auch Dr. med. B._______ in seiner weiteren Stellungnahme vom 11. November 2011 nachvollziehbar festgehalten hat. Die von Dr. med. M._______ neuerdings getätigte ungünstige Beurteilung der Einschränkung der Beschwerdeführerin entspricht einer früheren Kurzbeurteilung von Dr. med. S._______, welcher der Beschwerdeführerin ebenfalls eine Arbeitsunfähigkeit von 95 % im Erwerb und 90 % im Haushalt attestiert hat (vgl. IV act. 59). Der undatierte Bericht von Dr. med. S._______ lag im Rahmen des ersten Rentenprüfungsverfahrens bereits vor. Die Vorinstanz nahm aufgrund jenes Arztberichtes weitere medizinische Abklärungen vor und gelangte zu einer abweichenden Beurteilung, welche sie schliesslich der rechtskräftigen Verfügung vom 4. November 2009 zu Grunde legte (vgl. IV act. 61, 63, 85). In diesem Zusammenhang fällt auf, dass die von Dr. med. M._______ am 21. August 2011 attestierte Arbeitsunfähigkeit deutlich höher ausfällt als noch vor einem Jahr, ohne dass Dr. med. M._______ hierfür freilich eine nähere Begründung angäbe. Damals schätzte er die Arbeitsunfähigkeit der Beschwerdeführerin wie erwähnt auf 60 % (vgl. Arztbericht vom 7. August 2010). Diesbezüglich gilt festzuhalten, dass alleine das Attestieren einer gewissen Arbeitsunfähigkeit durch einen Arzt nicht reicht, um eine Veränderung des Gesundheitszustandes glaubhaft zu machen. Es müssen mindestens objektive Hinweise für eine Verschlimmerung des bestehenden Leidens oder Anzeichen für weitere Einschränkungen, welche bis anhin nicht berücksichtigt wurden, bestehen. Im vorliegenden Fall gibt es jedoch keine solche Hinweise, da aus den von der Beschwerdeführerin eingereichten medizinischen Unterlagen keine Verschlimmerung, sondern, wie dargelegt, lediglich eine Bestätigung der bekannten Problematik zu erkennen ist. Insofern ist eine erhebliche, rentenwirksame Veränderung der Verhältnisse zu verneinen. Dass sich die Arbeitsunfähigkeit der Beschwerdeführerin bei im Wesentlichen gleich gebliebenen Leidensbild um mehr als 30 % erhöht haben soll, ist somit nicht nachvollziehbar und nicht glaubhaft geworden und stellt unter den gegebenen Umständen und mit Blick auf den erwähnten, seinerzeit von der Vorinstanz nicht übernommenen Kurzbericht von Dr. med. S._______ eine res iudicata dar. 4.5. Zusammenfassend gilt festzuhalten, dass die Beschwerdeführerin ihre Behauptung, ihr Gesundheitszustand habe sich verschlechtert, nicht substantiiert begründet. Die eingereichten medizinischen Unterlagen ihres behandelnden Arztes reichen vorliegend nicht, um eine Verschlechterung des Gesundheitszustandes glaubhaft zu machen, zumal auch die letzte rechtskräftige Verfügung nur 14 Monate zurückliegt und daher an das Glaubhaftmachen einer Verschlechterung des Gesundheitszustandes umso grössere Anforderungen zu stellen sind. Die Vorinstanz ist daher zu Recht nicht auf erneute Leistungsbegehren eingetreten. Die Beschwerde ist somit abzuweisen, soweit darauf eingetreten wird.</w:t>
      </w:r>
    </w:p>
    <w:p>
      <w:r>
        <w:rPr>
          <w:b/>
        </w:rPr>
        <w:t>E. 5</w:t>
      </w:r>
    </w:p>
    <w:p>
      <w:r>
        <w:t>Zu befinden bleibt über die Verfahrenskosten und die Parteientschädigung:</w:t>
      </w:r>
    </w:p>
    <w:p>
      <w:r>
        <w:rPr>
          <w:b/>
        </w:rPr>
        <w:t>E. 5.1</w:t>
      </w:r>
    </w:p>
    <w:p>
      <w:r>
        <w:t>Das Bundesverwaltungsgericht auferlegt gemäss Art. 63 Abs. 1 VwVG die Verfahrenskosten in der Regel der unterliegenden Partei. Der unterliegenden Beschwerdeführerin sind zufolge Bewilligung der unentgeltlichen Rechtspflege keine Verfahrenskosten aufzuerlegen (Art. 65 Abs. 1 VwVG).</w:t>
      </w:r>
    </w:p>
    <w:p>
      <w:r>
        <w:rPr>
          <w:b/>
        </w:rPr>
        <w:t>E. 5.2</w:t>
      </w:r>
    </w:p>
    <w:p>
      <w:r>
        <w:t>Der Beschwerdeführerin ist bei diesem Ausgang des Verfahrens keine Parteientschädigung zuzusprechen (Art. 64 VwVG und Art. 7 Abs. 1 des Reglements vom 21. Februar 2008 über die Kosten und Entschädigungen vor dem Bundesverwaltungsgericht [VGKE, SR 173.320.2] e contrario). Die obsiegende Vorinstanz hat nach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