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B-903/2019 vom 16. Mai 2019</w:t>
      </w:r>
    </w:p>
    <w:p>
      <w:r>
        <w:t>Bundesverwaltungsgericht, 2019-05-16, DE</w:t>
      </w:r>
    </w:p>
    <w:p>
      <w:r>
        <w:rPr>
          <w:b/>
        </w:rPr>
        <w:t xml:space="preserve">Quelle: </w:t>
      </w:r>
      <w:r>
        <w:t>https://mcp.opencaselaw.ch/entscheid/bvger_B-903_2019</w:t>
      </w:r>
    </w:p>
    <w:p>
      <w:r>
        <w:t>FR: TAF B-903/2019 du 16 mai 2019</w:t>
      </w:r>
    </w:p>
    <w:p>
      <w:r>
        <w:t>IT: TAF B-903/2019 del 16 maggio 2019</w:t>
      </w:r>
    </w:p>
    <w:p>
      <w:pPr>
        <w:pStyle w:val="Heading2"/>
      </w:pPr>
      <w:r>
        <w:t>Regeste</w:t>
      </w:r>
    </w:p>
    <w:p>
      <w:r>
        <w:t>Direktzahlungen und Ökobeiträge</w:t>
      </w:r>
    </w:p>
    <w:p>
      <w:pPr>
        <w:pStyle w:val="Heading2"/>
      </w:pPr>
      <w:r>
        <w:t>Erwägungen</w:t>
      </w:r>
    </w:p>
    <w:p>
      <w:r>
        <w:rPr>
          <w:b/>
        </w:rPr>
        <w:t>E. 1</w:t>
      </w:r>
    </w:p>
    <w:p>
      <w:r>
        <w:t>Eine Kopie der Widerrufsverfügung vom 2. Mai 2019 geht an die Beschwerdeführerin.</w:t>
      </w:r>
    </w:p>
    <w:p>
      <w:r>
        <w:rPr>
          <w:b/>
        </w:rPr>
        <w:t>E. 2</w:t>
      </w:r>
    </w:p>
    <w:p>
      <w:r>
        <w:t>Das Beschwerdeverfahren B-903/2019 wird als durch Wiedererwägung gegenstandslos geworden abgeschrieben.</w:t>
      </w:r>
    </w:p>
    <w:p>
      <w:r>
        <w:rPr>
          <w:b/>
        </w:rPr>
        <w:t>E. 3</w:t>
      </w:r>
    </w:p>
    <w:p>
      <w:r>
        <w:t>Es werden keine Verfahrenskosten erhoben.</w:t>
      </w:r>
    </w:p>
    <w:p>
      <w:r>
        <w:rPr>
          <w:b/>
        </w:rPr>
        <w:t>E. 4</w:t>
      </w:r>
    </w:p>
    <w:p>
      <w:r>
        <w:t>Es wird keine Parteientschädigung zugesprochen.</w:t>
      </w:r>
    </w:p>
    <w:p>
      <w:r>
        <w:rPr>
          <w:b/>
        </w:rPr>
        <w:t>E. 5</w:t>
      </w:r>
    </w:p>
    <w:p>
      <w:r>
        <w:t>Dieser Entscheid geht an: - die Beschwerdeführerin (Gerichtsurkunde; Beilage: gemäss Ziff. 1); - die Vorinstanz (Ref-Nr. ...; Gerichtsurkunde); - die Erstinstanz (Gerichtsurkunde); - das Verwaltungsgericht des Kantons Zürichs, Militärstrasse 36, Postfach, 8090 Zürich (Gerichtsurkunde). Für die Rechtsmittelbelehrung wird auf die nächste Seite verwiesen. Der vorsitzende Richter: Die Gerichtsschreiberin: Stephan Breitenmoser Julia Haas Rechtsmittelbelehrung: Gegen diesen Entscheid kann innert 30 Tage nach Eröffnung beim Bundesgericht, 1000 Lausanne 14,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die beschwerdeführende Partei in Händen hat, beizulegen (Art. 42 BGG). Versand: 16. Mai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