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B-8115/2015 vom 6. Oktober 2016</w:t>
      </w:r>
    </w:p>
    <w:p>
      <w:r>
        <w:t>Bundesverwaltungsgericht, 2016-10-06, DE</w:t>
      </w:r>
    </w:p>
    <w:p>
      <w:r>
        <w:rPr>
          <w:b/>
        </w:rPr>
        <w:t xml:space="preserve">Quelle: </w:t>
      </w:r>
      <w:r>
        <w:t>https://mcp.opencaselaw.ch/entscheid/bvger_B-8115_2015_d20161006</w:t>
      </w:r>
    </w:p>
    <w:p>
      <w:r>
        <w:t>FR: TAF B-8115/2015 du 6 octobre 2016</w:t>
      </w:r>
    </w:p>
    <w:p>
      <w:r>
        <w:t>IT: TAF B-8115/2015 del 6 ottobre 2016</w:t>
      </w:r>
    </w:p>
    <w:p>
      <w:pPr>
        <w:pStyle w:val="Heading2"/>
      </w:pPr>
      <w:r>
        <w:t>Erwägungen</w:t>
      </w:r>
    </w:p>
    <w:p>
      <w:r>
        <w:rPr>
          <w:b/>
        </w:rPr>
        <w:t>E. 1</w:t>
      </w:r>
    </w:p>
    <w:p>
      <w:r>
        <w:t>Gegenstand des vorliegenden Zwischenentscheids ist der Antrag der Beschwerdeführerinnen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1.1.1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Für den Bund bezeichnet der Bundesrat gemäss Art. 2 Abs. 2 BöB die öffentlich-rechtlichen und die privatrechtlichen Organisationen, die in der Schweiz Tätigkeiten unter anderem im Bereich der Verkehrsversorgung ausüben und für diese Tätigkeiten nach dem GPA und anderen völkerrechtlichen Verträgen auch unter das BöB fallen. Der Bundesrat hat diese Kompetenz in Art. 2a Abs. 1 der Verordnung vom 11. Dezember 1995 über das öffentliche Beschaffungswesen (VöB, SR 172.056.11) umgesetzt und unter anderem öffentlich-rechtliche oder privatrechtliche Organisationen, die unter dem beherrschenden Einfluss des Bundes stehen, insbesondere, wenn der Bund die Kapital- oder Aktienmehrheit besitzt oder wenn er über die Hälfte der Mitglieder der Geschäftsleitung oder des Kontrollorgans stellt, dem BöB unterstellt (vgl. Art. 2a Abs. 1 Bst. a VöB). Diese Auftraggeberinnen unterstehen dem Gesetz aber nur für die in Art. 2a Abs. 2 Bst. a-c VöB ausdrücklich genannten Tätigkeiten, und wenn die Schwellenwerte gemäss Art. 2a Abs. 3 VöB überschritten werden (vgl. Art. 2a Abs. 1 VöB; Peter Galli/André Moser/Elisabeth Lang/Marc Steiner, Praxis des öffentlichen Beschaffungsrechts, 3. Aufl., 2013, Rz. 156 f.). Im Sektorenbereich Eisenbahnen (Bau und Betrieb von Eisenbahnanlagen) sind gemäss Art. 2a Abs. 2 Bst. b VöB die SBB AG, die Unternehmen, bei denen diese die Aktienmehrheit besitzen, und die anderen Betreiber von Eisenbahnanlagen, die unter dem beherrschenden Einfluss des Bundes stehen, dem BöB direkt unterstellt. Ausgenommen sind alle Tätigkeiten dieser Unternehmen, die nicht unmittelbar etwas mit dem Bereich Verkehr zu tun haben (vgl. Art. 2 Abs. 2 BöB i.V.m. Art. 2a Abs. 2 Bst. b VöB; Galli/Moser/Lang/Steiner, a.a.O., Rz. 158). Die Vergabestelle ist gemäss dem von ihr ins Recht gelegten Auszug aus dem Handelsregister Oberwallis Eigentümerin der Bahninfrastruktur der ehemaligen Furka Oberalp Bahn, umfassend namentlich Fahrbahn, Fahrleitung, Sicherungsanlagen und Bahnhöfe sowie die entsprechenden Infrastrukturanlagen der ehemaligen BVZ Zermatt-Bahn. Die Aktienmehrheit wird vom Bund gehalten. Die Vergabestelle ist daher eine Auftraggeberin im Sinn von Art. 2a Abs. 1 Bst. a VöB.</w:t>
      </w:r>
    </w:p>
    <w:p>
      <w:r>
        <w:rPr>
          <w:b/>
        </w:rPr>
        <w:t>E. 1.1.2</w:t>
      </w:r>
    </w:p>
    <w:p>
      <w:r>
        <w:t>Bei den in der vorliegenden Submission zugeschlagenen Baumeisterarbeiten handelt es sich offensichtlich und unbestrittenermassen um einen Bauauftrag, der in den Anwendungsbereich des BöB fällt. Der Preis des berücksichtigten Angebots von CHF 15'665'406.- (ohne MWSt.) überschreitet zweifelsfrei den für Bauaufträge geltenden Schwellenwert gemäss Art. 6 Abs. 1 Bst. c BöB bzw. Art. 6 Abs. 2 BöB in Verbindung mit Art. 1 Bst. c der Verordnung des WBF vom 2. Dezember 2013 über die Anpassung der Schwellenwerte im öffentlichen Beschaffungswesen für die Jahre 2014 und 2015 (AS 2013 4395).</w:t>
      </w:r>
    </w:p>
    <w:p>
      <w:r>
        <w:rPr>
          <w:b/>
        </w:rPr>
        <w:t>E. 1.1.3</w:t>
      </w:r>
    </w:p>
    <w:p>
      <w:r>
        <w:t>Da auch kein Ausnahmetatbestand im Sinne von Art. 3 BöB vorliegt, fällt die vorliegend angefochtene Beschaffung in den Anwendungsbereich des Bundesgesetzes über das öffentliche Beschaffungswesen, wovon im Übrigen auch die Vergabestelle ausgeht.</w:t>
      </w:r>
    </w:p>
    <w:p>
      <w:r>
        <w:rPr>
          <w:b/>
        </w:rPr>
        <w:t>E. 1.2</w:t>
      </w:r>
    </w:p>
    <w:p>
      <w:r>
        <w:t>Das Bundesverwaltungsgericht ist daher für die Beurteilung der vorliegenden Streitsache zuständig.</w:t>
      </w:r>
    </w:p>
    <w:p>
      <w:r>
        <w:rPr>
          <w:b/>
        </w:rPr>
        <w:t>E. 1.3</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mit Hinweisen; Galli/Moser/Lang/Steiner, a.a.O., Rz. 1340, mit Hinweisen).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3</w:t>
      </w:r>
    </w:p>
    <w:p>
      <w:r>
        <w:t>Im Unterschied zu Art. 55 Abs. 1 VwVG sieht Art. 28 Abs. 1 BöB vor, dass der Beschwerde von Gesetzes wegen keine aufschiebende Wirkung zu-kommt. Demnach kann diese vom Bundesverwaltungsgericht nur auf Ge-such hin erteilt werden (vgl.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(vgl.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(vgl. BVGE 2007/13 E. 2.2 mit Hinweisen; Galli/Moser/Lang/Steiner, a.a.O., Rz. 1341).</w:t>
      </w:r>
    </w:p>
    <w:p>
      <w:r>
        <w:rPr>
          <w:b/>
        </w:rPr>
        <w:t>E. 4</w:t>
      </w:r>
    </w:p>
    <w:p>
      <w:r>
        <w:t>Abgesehen von der Zuständigkeit des Bundesverwaltungsgerichts sind auch die übrigen Prozessvoraussetzungen offensichtlich gegeben. Die Beschwerdeführerinnen haben als Anbieterinnen am Verfahren vor der Vergabestelle teilgenommen und sind durch die angefochtene Zuschlagsverfügung, mit der der Zuschlag einer Mitbewerberin erteilt wurde, besonders berührt (vgl. Art. 48 Abs. 1 Bst. a und b VwVG). Die Beschwerdeführerinnen beantragen, es sei der am 24. November 2015 publizierte Zuschlag aufzuheben und ihnen selbst zu erteilen. Sie rügen dabei unter anderem, die Zuschlagsempfängerinnen wären auszuschliessen gewesen, weil sie nicht alle Eignungskriterien erfüllten. Würde das Gericht ihrer Argumentation Folge leisten, so hätten die Beschwerdeführerinnen als an zweiter Stelle rangierte Anbieterinnen eine reelle Chance, den Zuschlag zu erhalten, falls die Zuschlagsverfügung aufgehoben würde. Aufgrund dessen haben die Beschwerdeführerinnen ein schutzwürdiges Interesse an der Aufhebung der angefochtenen Verfügung (vgl. Art. 48 Abs. 1 Bst. c VwVG), welches nach wie vor aktuell und praktisch ist (vgl. zum Ganzen BGE 141 II 14 E. 4.4). Die Beschwerde wurde frist- und formgerecht eingereicht (vgl. Art. 30 BöB und Art. 52 Abs. 1 VwVG), der Rechtsvertreter hat sich rechtmässig ausgewiesen (vgl. Art. 11 VwVG) und der Kostenvorschuss wurde fristgerecht bezahlt (vgl. Art. 63 Abs. 4 VwVG). Die Eintretensvoraussetzungen sind daher im vorliegenden Fall erfüllt.</w:t>
      </w:r>
    </w:p>
    <w:p>
      <w:r>
        <w:rPr>
          <w:b/>
        </w:rPr>
        <w:t>E. 5</w:t>
      </w:r>
    </w:p>
    <w:p>
      <w:r>
        <w:t>In materieller Hinsicht machen die Beschwerdeführerinnen unter anderem geltend, die Zuschlagsempfängerinnen erfüllten das in der Ausschreibung verlangte dritte Eignungskriterium eines hinreichenden Qualitätsmanagements nicht. Konkret beanstanden sie, dass nicht alle Gesellschaften der Zuschlagsempfängerinnen über die notwendigen Qualitätszertifikate (ISO-Zertifikat oder gleichwertiges Zertifikat) verfügten. Die Vergabestelle erachtet diese Rüge als unbegründet. Entgegen den Behauptungen der Beschwerdeführerinnen habe die Offerte der Zuschlagsempfängerinnen für beide Mitglieder die von den Ausschreibungsunterlagen verlangten Nachweise zur Erfüllung des Eignungskriteriums 3 enthalten. Bezüglich der C._______ AG hätten die Zuschlagsempfängerinnen mit ihrer Offerte deren ISO-Zertifikat eingereicht, und bezüglich der D._______ AG enthalte die Offerte ein Schreiben der Zertifizierungsstelle Z._______ AG vom 27. August 2015 mit Bestätigung des Auftrags für die Zertifizierung im Oktober 2015. Die D._______ AG sei erst am (...) 2014 gegründet worden. Die Vergabestelle habe die Bestätigung der Zertifizierungsstelle im Vergleich mit dem effektiven Vorliegen des ISO-Zertifikats als gleichwertigen Ausweis betrachtet. Es sei noch vor dem Datum der in Aussicht genommenen Zuschlagserteilung mit dem Vorliegen des ISO-Zertifikats zu rechnen gewesen, und das betreffende ISO-Zertifikat habe vor der Zuschlagserteilung denn auch tatsächlich vorgelegen. Der Ausweis für die D._______ AG sei am 14. Oktober 2015 ausgestellt worden, während die Zuschlagserteilung am 20. November 2015 erfolgt sei. Ein Ausschluss der Zuschlagsempfängerinnen wäre unter diesen Umständen unverhältnismässig gewesen.</w:t>
      </w:r>
    </w:p>
    <w:p>
      <w:r>
        <w:rPr>
          <w:b/>
        </w:rPr>
        <w:t>E. 5.1</w:t>
      </w:r>
    </w:p>
    <w:p>
      <w:r>
        <w:t>Im Rahmen eines Submissionsverfahrens ist die Befähigung jedes einzelnen Bewerbers zur Ausführung des Auftrags zu prüfen. Das BöB bestimmt, dass die Auftraggeberin die Anbieter und Anbieterinnen auffordern kann, einen Nachweis ihrer finanziellen, wirtschaftlichen und technischen Leistungsfähigkeit zu erbringen. Sie stellt dazu Eignungskriterien auf und gibt diese sowie die erforderlichen Nachweise in der Ausschreibung oder in den Ausschreibungsunterlagen bekannt (vgl. Art. 9 Abs. 1 und 2 BöB).</w:t>
      </w:r>
    </w:p>
    <w:p>
      <w:r>
        <w:rPr>
          <w:b/>
        </w:rPr>
        <w:t>E. 5.2</w:t>
      </w:r>
    </w:p>
    <w:p>
      <w:r>
        <w:t>Im vorliegenden Fall hatte die Vergabestelle in Ziff. 3.7 der Ausschreibung drei Eignungskriterien festgelegt: "NE 1: Hinreichende Befähigung zur Auftragserfüllung NE 2: Hinreichende Leistungsfähigkeit NE 3: Hinreichendes Qualitätsmanagement"</w:t>
      </w:r>
    </w:p>
    <w:p>
      <w:r>
        <w:rPr>
          <w:b/>
        </w:rPr>
        <w:t>E. 5.3</w:t>
      </w:r>
    </w:p>
    <w:p>
      <w:r>
        <w:t>Die Vergabestelle definierte den Nachweis für das Eignungskriterium "NE 3: Hinreichendes Qualitätsmanagement" wie folgt (vgl. Ausschreibung, Ziff. 3.8): "Nachweis eines funktionierenden unternehmensbezogenen Qualitätsmanagements (zum Zeitpunkt der Offerteingabe gültiges ISO-Zertifikat oder gleichwertiges Zertifikat). Im Falle einer Arbeitsgemeinschaft ist die ISO-Zertifizierung (oder ein gleichwertiges Zertifikat) für alle Mitglieder zu erbringen." Eine (nahezu) identische Definition findet sich in den Ausschreibungsunterlagen (Teil A: Allgemeines Los 12, Ziff. 4.1.2, S. 16). Die Ausschreibungsunterlagen sahen überdies vor, dass Angebote, welche eines der genannten Kriterien nicht erfüllten (fehlende oder nicht beurteilbare Nachweise) vom weiteren Verfahren ausgeschlossen würden (vgl. Ausschreibungsunterlagen, Teil A: Allgemeines Los 12, Ziff. 4.1.2, S. 16).</w:t>
      </w:r>
    </w:p>
    <w:p>
      <w:r>
        <w:rPr>
          <w:b/>
        </w:rPr>
        <w:t>E. 5.4</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BRK 2005-024 vom 6. Juni 2006 E. 3b). Wenn sie bekanntgegebene Kriterien ausser Acht lässt, ihre Bedeutungsfolge umstellt, andere Gewichtungen vornimmt oder Kriterien heranzieht, die sie nicht bekanntgegeben hat, handelt sie vergaberechtswidrig (vgl. Urteile des BVGer B-4958/2013 vom 30. April 2014 E. 2.5.2 und B-891/2009 vom 5. November 2009 E. 3.4). 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mit Hinweis;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BGE 141 II 14 E. 7.1; Urteil des BGer 2C_1101/2012 vom 24. Januar 2013 E. 2.4.1).</w:t>
      </w:r>
    </w:p>
    <w:p>
      <w:r>
        <w:rPr>
          <w:b/>
        </w:rPr>
        <w:t>E. 5.5</w:t>
      </w:r>
    </w:p>
    <w:p>
      <w:r>
        <w:t>Im vorliegenden Fall ist der Wortlaut der entsprechenden Ausschreibungsbestimmung klar. Die Vergabestelle hatte die Eignung eines Anbieters explizit unter anderem davon abhängig gemacht, dass im Zeitpunkt der Offerteingabe für jedes Mitglied der Arbeitsgruppe der Nachweis eines funktionierenden unternehmensbezogenen Qualitätsmanagements anhand eines gültigen Zertifikats erbracht werde. In sachverhaltlicher Hinsicht ist aktenkundig und unbestritten, dass das ISO-Zertifikat der Zuschlagsempfängerin 2 erst am 14. Oktober 2015 und damit nach Ablauf der Eingabefrist am 28. August 2015 ausgestellt wurde. Im Zeitpunkt der Offerteingabe reichte die Zuschlagsempfängerin 2 lediglich ein Bestätigungsschreiben der Zertifizierungsstelle Z._______ AG vom 27. August 2015 ein, in welcher diese den Auftrag für die Zertifizierung im Oktober 2015 bestätigte.</w:t>
      </w:r>
    </w:p>
    <w:p>
      <w:r>
        <w:rPr>
          <w:b/>
        </w:rPr>
        <w:t>E. 5.6</w:t>
      </w:r>
    </w:p>
    <w:p>
      <w:r>
        <w:t>Die Vergabestelle argumentiert, dass bereits aufgrund des beigelegten Zertifizierungsauftrags die Gleichwertigkeit gegeben gewesen sei. Zwar kommt der Vergabestelle ein grosser Ermessenspielraum bezüglich der Frage zu, inwieweit die beigebrachten Eignungsnachweise die in den Ausschreibungsbestimmungen vorgegebenen Anforderungen erfüllen. Diesbezügliche Ermessensentscheide der Vergabestelle überprüft die Rechtsmittelinstanz nur auf Rechtsfehler hin (vgl. Galli/Moser/Lang/Steiner, a.a.O., Rz. 564 ff., mit Hinweisen). Offensichtlich kann aber ein Auftrag zur Zertifizierung allein nichts darüber aussagen, ob das betreffende Unternehmen die Zertifizierung später tatsächlich erhalten wird oder nicht, genauso wenig, wie eine Anmeldung zur Prüfung etwas darüber aussagen würde, ob der Kandidat die Prüfung bestehen wird oder nicht. Prima facie kann daher nicht ausgeschlossen werden, dass die Vergabestelle ihr Ermessen rechtsfehlerhaft ausgeübt hat, wenn sie bereits aufgrund des im Offertzeitpunkt beigelegten Zertifizierungsauftrags die Gleichwertigkeit als gegeben erachtet hat.</w:t>
      </w:r>
    </w:p>
    <w:p>
      <w:r>
        <w:rPr>
          <w:b/>
        </w:rPr>
        <w:t>E. 5.7</w:t>
      </w:r>
    </w:p>
    <w:p>
      <w:r>
        <w:t>Die Vergabestelle argumentiert weiter, da noch vor dem Datum der in Aussicht genommenen Zuschlagserteilung mit dem Vorliegen des ISO-Zertifikats zu rechnen gewesen sei und das betreffende ISO-Zertifikat denn auch tatsächlich vor der Zuschlagserteilung eingereicht worden sei, wäre ein Ausschluss der Zuschlagsempfängerinnen unverhältnismässig gewesen.</w:t>
      </w:r>
    </w:p>
    <w:p>
      <w:r>
        <w:rPr>
          <w:b/>
        </w:rPr>
        <w:t>E. 5.7.1</w:t>
      </w:r>
    </w:p>
    <w:p>
      <w:r>
        <w:t>Nach Art. 19 Abs. 1 BöB müssen die Anbieter ihre Offerte schriftlich, vollständig und fristgerecht einreichen. Dieser Regel liegt der Gedanke zugrunde, dass die Vergabestelle anhand der eingereichten Offerten direkt zur Vergabe des Auftrags schreiten können soll (vgl. Urteil des BGer 2C_241/2012 vom 28. Juni 2012 E. 4.1; BVGE 2007/13 E. 3.1 und Zwischenentscheid des BVGer B-5084/2007 vom 8. November 2007 E. 3.1.1, je mit Verweis auf das Urteil des BGer 2P.164/2002 vom 27. November 2002 E. 3.3). Dementsprechend sind denn auch sowohl die Eignung der Anbieter als auch die Offerten grundsätzlich aufgrund der innert Frist eingereichten Angaben und Nachweise zu prüfen (vgl. Urteil des BVGer B-4366/2009 vom 24. Februar 2010 E. 7.3; Entscheid der BRK 2003-015 vom 1. September 2003, veröffentlicht in VPB 68.10 E. 3c/aa; Entscheid der BRK 2002-011 vom 8. Oktober 2002, veröffentlicht in VPB 67.5 E. 2b).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Urteil des BVGer B-985/2015 vom 12. Juli 2015 E. 4.3.5, mit Hinweisen). In der Literatur wird teilweise die Auffassung vertreten, Eignungsnachweise, welche erst nach Ablauf der Antragsfrist beigebracht würden, dürften als verspätet nicht mehr berücksichtigt werden (vgl. Hans Rudolf Trüeb, in: Oesch/Weber/Zäch [Hrsg.], Wettbewerbsrecht II, 2011, N. 1 zu Art. 19 BöB). Teilweise wird diese Rechtsfolge dagegen lediglich für das selektive Verfahren befürwortet, im offenen Verfahren dagegen könne sich aus dem Verhältnismässigkeitsprinzip eine Rückfragepflicht der Vergabestelle ergeben. So müsse es mit Blick auf das Wirtschaftlichkeitsgebot wohl zulässig sein, eine zum Zeitpunkt der Offerteinreichung gegebene Eignung durch das nachträgliche Einreichen von Nachweisen zu belegen. Entsprechend habe die Vergabestelle, die ein Fehlen oder Ungenügen von Nachweisen feststelle, nachzufragen, bevor sie einen Anbieter mangels Eignung ausschliesse (vgl. Galli/Moser/Lang/Steiner, a.a.O., Rz. 572 und Rz. 575; Martin Beyeler, Eignung und technische Spezifikation, Baurecht 2010, S. 93).</w:t>
      </w:r>
    </w:p>
    <w:p>
      <w:r>
        <w:rPr>
          <w:b/>
        </w:rPr>
        <w:t>E. 5.7.2</w:t>
      </w:r>
    </w:p>
    <w:p>
      <w:r>
        <w:t>Die Grenzziehung zwischen einer (zulässigen bzw. sogar gebotenen) nachträglichen Behebung von unbedeutenden Formmängeln einerseits und einer (unzulässigen) Nachbesserung wesentlicher inhaltlicher Mängel einer Offerte andererseits ist zwar nicht einfach zu ziehen. Zu berücksichtigen ist aber, dass die in der Literatur und Rechtsprechung genannten Beispiele, in denen die nachträgliche Einreichung von Belegen als zulässig erachtet wurde, Fälle betrafen, in denen der zu belegende Sachverhaltsumstand im Zeitpunkt der Offerteinreichung bereits bestand. Bezüglich der Frage, ob in Bezug auf die Eignung eines Anbieters positive Tatsachen, die sich erst nach Ablauf des Eingabetermins für die Angebote ereignet haben, berücksichtigt werden dürfen, finden sich in der Rechtsprechung und Literatur verschiedene negative Meinungsäusserungen, aber jedenfalls keine herrschende positive Auffassung.</w:t>
      </w:r>
    </w:p>
    <w:p>
      <w:r>
        <w:rPr>
          <w:b/>
        </w:rPr>
        <w:t>E. 5.7.3</w:t>
      </w:r>
    </w:p>
    <w:p>
      <w:r>
        <w:t>Hinzu kommt, dass die Nachreichung eines Zertifizierungsbelegs, der erst nach dem Eingabetermin ausgestellt wurde, weil die betreffende Anbieterin im Eingabetermin noch gar nicht zertifiziert war, im vorliegenden Fall offensichtlich gegen den klaren Wortlaut der Ausschreibungsbestimmungen verstiess.</w:t>
      </w:r>
    </w:p>
    <w:p>
      <w:r>
        <w:rPr>
          <w:b/>
        </w:rPr>
        <w:t>E. 5.7.4</w:t>
      </w:r>
    </w:p>
    <w:p>
      <w:r>
        <w:t>Prima facie erscheint es daher nicht als ausgeschlossen, dass die Vergabestelle sich vergaberechtswidrig verhalten hat, soweit sie den von der Zuschlagsempfängerin 2 nachgereichten Zertifizierungsbeleg berücksichtigt hat.</w:t>
      </w:r>
    </w:p>
    <w:p>
      <w:r>
        <w:rPr>
          <w:b/>
        </w:rPr>
        <w:t>E. 5.8</w:t>
      </w:r>
    </w:p>
    <w:p>
      <w:r>
        <w:t>Die Rüge der Beschwerdeführerinnen, die Vergabestelle sei zu Unrecht davon ausgegangen, dass die Zuschlagsempfängerin 2 den Nachweis erbracht habe, dass sie das Eignungskriterium NE 3 (Hinreichendes Qualitätsmanagement) erfülle, erscheint daher prima facie nicht als offensichtlich unbegründet. Fehlende Eignung bzw. das Nichterfüllen der Eignungskriterien führt zum Ausschluss vom Verfahren (vgl. BGE 139 II 489 E. 2.2.4; Galli/Moser/Lang/Steiner, a.a.O., Rz. 580). Es ist daher im jetzigen Zeitpunkt nicht erforderlich, auch die weiteren von den Beschwerdeführerinnen erhobenen Rügen zu prüfen.</w:t>
      </w:r>
    </w:p>
    <w:p>
      <w:r>
        <w:rPr>
          <w:b/>
        </w:rPr>
        <w:t>E. 5.9</w:t>
      </w:r>
    </w:p>
    <w:p>
      <w:r>
        <w:t>Als Zwischenergebnis ist daher davon auszugehen, dass die Beschwerde aufgrund einer prima-facie-Würdigung nicht als offensichtlich unbegründet erscheint.</w:t>
      </w:r>
    </w:p>
    <w:p>
      <w:r>
        <w:rPr>
          <w:b/>
        </w:rPr>
        <w:t>E. 6</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Beschwerdeführerinnen,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Da die Vergabestelle im vorliegenden Fall indessen lediglich ausgeführt hat, da die Beschwerde aussichtslos und unbegründet sei, müsse in casu keine Interessenabwägung vorgenommen werden, ist sie dieser Behauptungs- und Substantiierungslast nicht nachgekommen. Es ist daher nicht davon auszugehen, dass dem Interesse der Beschwerdeführerinnen, dass ihre Chance auf einen Zuschlag durch die Gewährung der aufschiebenden Wirkung gewahrt werde, gewichtige öffentliche Interessen entgegenstünden.</w:t>
      </w:r>
    </w:p>
    <w:p>
      <w:r>
        <w:rPr>
          <w:b/>
        </w:rPr>
        <w:t>E. 7</w:t>
      </w:r>
    </w:p>
    <w:p>
      <w:r>
        <w:t>Im Ergebnis ist daher der Antrag der Beschwerdeführerinnen um Gewährung der aufschiebenden Wirkung gutzuheissen.</w:t>
      </w:r>
    </w:p>
    <w:p>
      <w:r>
        <w:rPr>
          <w:b/>
        </w:rPr>
        <w:t>E. 8</w:t>
      </w:r>
    </w:p>
    <w:p>
      <w:r>
        <w:t>Da mit dem vorliegenden Zwischenentscheid dem Gesuch der Beschwerdeführerinnen entsprochen wird, stellt sich die Frage der Ergreifung eines Rechtsmittels bzw. der dafür benötigten Akteneinsicht für sie nicht. Über den Antrag der Beschwerdeführerinnen auf Akteneinsicht wird daher zu einem späteren Zeitpunkt zu entscheiden sein.</w:t>
      </w:r>
    </w:p>
    <w:p>
      <w:r>
        <w:rPr>
          <w:b/>
        </w:rPr>
        <w:t>E. 9</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