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B-8093/2010 vom 16. Juni 2011</w:t>
      </w:r>
    </w:p>
    <w:p>
      <w:r>
        <w:t>Bundesverwaltungsgericht, 2011-06-16, FR</w:t>
      </w:r>
    </w:p>
    <w:p>
      <w:r>
        <w:rPr>
          <w:b/>
        </w:rPr>
        <w:t xml:space="preserve">Quelle: </w:t>
      </w:r>
      <w:r>
        <w:t>https://mcp.opencaselaw.ch/entscheid/bvger_B-8093_2010</w:t>
      </w:r>
    </w:p>
    <w:p>
      <w:r>
        <w:t>FR: TAF B-8093/2010 du 16 juin 2011</w:t>
      </w:r>
    </w:p>
    <w:p>
      <w:r>
        <w:t>IT: TAF B-8093/2010 del 16 giugno 2011</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 La qualité pour recourir doit être reconnue à Ashtamkar S.A. (cf. art. 48 al. 1 let. a à c PA ; art. 59 de la loi fédérale du 6 octobre 2000 sur la partie générale du droit des assurances sociales [LPGA, RS 830.1]). Les autres conditions de recevabilité sont respectées (cf. art. 11, 50 al. 1, 52 al. 1 et 63 al. 4 PA ; art. 60 al. 1 LPGA). Partant, le recours est recevable.</w:t>
      </w:r>
    </w:p>
    <w:p>
      <w:r>
        <w:rPr>
          <w:b/>
        </w:rPr>
        <w:t>E. 2.1</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que la perte de travail doit être prise en considération (let. b), que le congé n'a pas été donné (let. c) et que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de l'ensemble des heures normalement effectuées par les travailleurs de l'entreprise (let. b) (art. 32 al. 1 LACI).</w:t>
      </w:r>
    </w:p>
    <w:p>
      <w:r>
        <w:rPr>
          <w:b/>
        </w:rPr>
        <w:t>E. 2.2</w:t>
      </w:r>
    </w:p>
    <w:p>
      <w:r>
        <w:t>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de l'ordonnance sur l'assurance-chômage du 31 août 1983 [OACI, RS 837.02]).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(art. 46 al. 2 OACI).</w:t>
      </w:r>
    </w:p>
    <w:p>
      <w:r>
        <w:rPr>
          <w:b/>
        </w:rPr>
        <w:t>E. 2.3</w:t>
      </w:r>
    </w:p>
    <w:p>
      <w:r>
        <w:t>L'art. 31 al. 3 let. a LACI prévoit que n'ont pas droit à l'indemnité, les travailleurs dont la réduction de l'horaire de travail ne peut être déterminée ou dont l'horaire de travail n'est pas suffisamment contrôlable. L'art. 46b OACI précise, quant à lui, que la perte de travail n'est suffisamment contrôlable que si le temps de travail est contrôlé par l'entreprise (al. 1) et impose à l'employeur de conserver les documents relatifs au contrôle du temps de travail pendant cinq ans (al. 2). 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OACI). Il communique à l'employeur, par voie de décision, le résultat du contrôle effectué auprès de ce dernier ; la caisse se charge de l'encaissement des éventuels montants à rembourser en se fondant sur la décision de l'organe de compensation (art. 111 al. 2 OACI en lien avec l'art. 95 al. 2 LACI).</w:t>
      </w:r>
    </w:p>
    <w:p>
      <w:r>
        <w:rPr>
          <w:b/>
        </w:rPr>
        <w:t>E. 3</w:t>
      </w:r>
    </w:p>
    <w:p>
      <w:r>
        <w:t>Selon la jurisprudence du Tribunal fédéral, 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 du Tribunal fédéral [TF] C 86/01 du 12 juin 2001 consid. 1 ; Boris Rubin, Assurance-chômage, Droit fédéral, survol des mesures cantonales, procédure, 2e éd., Zurich/Bâle/Genève 2006, p. 490 et réf. cit. ; arrêt du Tribunal administratif fédéral [TAF] B-7901/2007 du 10 novembre 2008 consid. 4.3.3). L'obligation de contrôle de la perte de travail par l'employeur résulte de la nature même de cette prestation d'assurance. Du moment où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(cf. arrêts du TF précité C 86/01 consid. 1 et C 367/99 du 12 mai 2000 consid. 1b). Sauf circonstances exceptionnelles, l'exigence relative au contrôle du temps de travail n'est satisfaite que par un relevé quotidien et suivi des heures de travail effectivement accomplies par les employés concernés par la réduction de l'horaire de travail ; un tel rapport ne peut pas être remplacé par des documents présentés seulement après coup (cf. arrêt du TF C 269/03 du 25 mai 2004 consid. 3.1).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Revue du droit du travail et assurance-chômage [DTA] 2005 283 consid. 4.3 ; Thomas Nussbaumer in : Ulrich Meyer [Ed.], Schweizerisches Bundesverwaltungsrecht, Tome XIV, Soziale Sicherheit, 2e éd., Bâle 2007, p. 2315 ; Rubin, op. cit., p. 486 ; arrêt du TF C 295/02 du 12 juin 2003 consid. 2.2). Les heures travaillées ne doivent ainsi pas impérativement être établies électroniquement ou mécaniquement (cf. arrêt du TF précité C 269/03 consid. 3.1 ; arrêt du TAF B 7898/2007 du 13 mai 2088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précité C 86/01 consid. 1 ; Rubin, op. cit., p. 490). Un total des heures perdues à la fin du mois ne permet pas de rendre suffisamment contrôlable la perte de travail (Erwin Murer/Hans Ulrich Stauffer, Rechtsprechung des Bundesgerichts zum Sozialversicherungsrecht, Bundesgesetz über die obligatorische Arbeitslosenversicherung und Insolvenzentschädigung, 3e éd., Zurich/Bâle/Genève 2008, p. 181 et réf. cit.). De même, le fait de contrôler les présences et les absences ne suffit pas (cf. arrêt du TF précité C 140/02 consid. 3.3 ; arrêt du TAF précité B-7901/2007 consid. 4.2).</w:t>
      </w:r>
    </w:p>
    <w:p>
      <w:r>
        <w:rPr>
          <w:b/>
        </w:rPr>
        <w:t>E. 4.1</w:t>
      </w:r>
    </w:p>
    <w:p>
      <w:r>
        <w:t>La question à trancher dans la présente affaire est celle de savoir si c'est à tort ou à raison que l'autorité inférieure a exigé de la part de la recourante la restitution complète des indemnités en cas de RHT, d'un montant de Fr. 159'194.35, lesquelles auraient été perçues indûment entre février 2009 et mai 2010, au motif que la perte de travail s'est révélée insuffisamment contrôlable.</w:t>
      </w:r>
    </w:p>
    <w:p>
      <w:r>
        <w:rPr>
          <w:b/>
        </w:rPr>
        <w:t>E. 4.2</w:t>
      </w:r>
    </w:p>
    <w:p>
      <w:r>
        <w:t>En l'occurrence, la recourante confirme qu'elle n'a établi aucun écrit sur lequel auraient été consignées, pour chaque jour, les heures de travail effectives de ses employés. Elle allègue, cependant, que son comptable, chargé d'adresser les formulaires "Rapport concernant les heures perdues pour raisons d'ordre économique" à la Caisse cantonale, en imprimait un exemplaire, en début de chaque mois, le complétait quotidiennement sur la base des heures perdues (ou travaillées, selon une première version [cf. consid. A.b]) que lui annonçaient les employés, puis transposait fidèlement, à la fin du mois, l'ensemble des heures perdues sur l'original, avant signature et envoi. Elle soutient que, par ce biais, un contrôle précis et régulier était exercé en ce qui concerne les heures de présence de ses employés. La jurisprudence a eu l'occasion de préciser que la perte de travail, pour laquelle des indemnités sont réclamées, n'est réputée suffisamment vérifiable que si les heures effectives de travail peuvent être contrôlées pour chaque jour ; il s'agit de la seule façon de garantir que les heures supplémentaires, qui doivent être compensées durant la période de décompte, soient également reportées dans le calcul de la perte de travail mensuelle (cf. arrêt du TF C 277/98 du 15 février 1999 ; DTA 1999 n° 34 p. 200ss). Dans ce sens, il a été confirmé à plusieurs reprises que le formulaire "Rapport concernant les heures perdues pour raisons d'ordre économique", qui fait partie des documents à remettre à la caisse cantonale de chômage pour chaque période de décompte, ne satisfaisait pas à l'exigence d'un contrôle suivi de l'horaire de travail par l'entreprise, au sens de l'art. 46b al. 1 OACI (cf. notamment arrêt du TF C 260/00 du 22 août 2001 consid. 2b ; arrêt du TAF B-3424/2010 du 6 avril 2011 consid. 5). Il est ainsi établi que la recourante n'a pas été en mesure de présenter à l'autorité inférieure, lors de son contrôle, des pièces propres à établir qu'elle a procédé à un contrôle du temps de travail de ses employés au sens de la disposition précitée. En d'autres termes, elle a failli à son obligation de permettre à dite autorité d'effectuer, le moment venu, un contrôle approfondi de la perte de travail indemnisable ; le fardeau de la preuve lui incombant à ce sujet, elle doit supporter les conséquences attachées à ce défaut de preuve, à savoir le rejet complet de son droit à l'indemnité (cf. arrêt du TF précité C 295/02 consid. 3.2 et réf. cit.).</w:t>
      </w:r>
    </w:p>
    <w:p>
      <w:r>
        <w:rPr>
          <w:b/>
        </w:rPr>
        <w:t>E. 4.3</w:t>
      </w:r>
    </w:p>
    <w:p>
      <w:r>
        <w:t>Cela dit, la recourante invoque sa bonne foi, exposant qu'elle ne disposait pas des connaissances juridiques pour saisir la portée des exigences légales fixées en la matière. Elle précise, à ce propos, que si le premier paragraphe des remarques concernant l'indemnité en cas de RHT - figurant à la page 3 des décisions rendues par le Service de l'emploi - indique qu'un système de contrôle du temps de travail doit être mis en place, il ne signale pas que ce système doit en permettre un contrôle a posteriori. Par ailleurs, elle reproche à l'autorité inférieure d'avoir violé son obligation d'établir les faits pertinents, en refusant de procéder à une audition de ses trois employés. Elle soutient que cette mesure d'instruction serait, en effet, propre à permettre de démontrer que le montant d'heures perdues qui a été déclaré est conforme à la réalité ; elle souligne que les déclarations de ses collaborateurs du 31 août 2008 (cf. consid. A.c) attestent, du reste, cette conformité.</w:t>
      </w:r>
    </w:p>
    <w:p>
      <w:r>
        <w:rPr>
          <w:b/>
        </w:rPr>
        <w:t>E. 4.3.1</w:t>
      </w:r>
    </w:p>
    <w:p>
      <w:r>
        <w:t>S'agissant du premier argument de la recourante, il y a d'abord lieu de rappeler qu'en vertu d'un principe général, valable également en droit des assurances sociales, nul ne peut tirer avantage de sa propre méconnaissance du droit (cf. arrêts du TF C 273/04 du 13 juillet 2005 consid. 5 et C 5/04 du 27 mai 2004 consid. 5.1) et il appartient à chaque employeur, qui souhaite demander l'indemnité en cas de RHT, de s'informer sur les prescriptions légales et de se renseigner, en cas de doute, auprès des autorités compétentes (cf. DTA 2005 283 consid. 5). De plus, les décisions du Service de l'emploi précisent expressément, sous la rubrique "Remarques importantes concernant l'indemnité en cas de réduction de l'horaire de travail", que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tout autre type d'absences telles que, par. ex., les vacances, les absences en cas de maladie, d'accident ou pour le service militaire". Contrairement à ce que soutient la recourante, la notion même de "pouvoir rendre compte quotidiennement" laisse entendre que l'employeur doit être en mesure de présenter les documents permettant de reconstituer l'horaire de travail de ses employés pour toute la période en cause. Par ailleurs, la recourante disposait de la brochure de l'autorité inférieure "Info-Service, Information aux employeurs, Indemnité en cas de réduction de l'horaire de travail" (ci-après : la brochure Info-Service), dans son édition 2007 (voire 2009), à laquelle renvoient expressément les formulaires "Préavis de réduction de l'horaire de travail" qu'elle a complétés, signés et renvoyés au Service de l'emploi ainsi que les décisions rendues par celui-ci. Elle a, en effet, adressé elle-même des photocopies de la page 15 de cette brochure (édition 2007) à la Caisse cantonale, en date du 5 mars 2009. Or, la brochure Info-Service (éditions de janvier 2007 et janvier 2009), qui satisfait aux conditions de l'art. 27 al. 1 LPGA quant à l'obligation de renseigner (cf. arrêt du TF 8C_375/2007 du 28 septembre 2007 consid. 2.2 ; arrêts du TAF précités B-3424/2010 consid. 2.2 et B-7898/2007 consid. 4.2), tient compte des dispositions de la LACI et de l'OACI et donne un aperçu des droits et des obligations des employeurs et des démarches à entreprendre en cas d'introduction d'une réduction de l'horaire de travail. Ainsi, il y est notamment précisé, sous rubrique 6, que n'ont pas droit à l'indemnité, les travailleurs dont la perte de travail "ne peut être déterminée" ou dont l'horaire "n'est pas suffisamment contrôlable". Pour ce faire, il est indispensable que l'employeur instaure un système de contrôle des temps de présence, par exemple au moyen de cartes de timbrage ou de rapports des heures. Selon la rubrique 12, il doit, dans ce même but, remplir son obligation de renseigner et d'annoncer ainsi que conserver les documents pendant cinq ans et, "sur demande, les présenter à l'organe de compensation". Cette dernière obligation est, du reste, explicitement prévue par l'art. 46b al. 2 OACI (précisant l'art. 31 al. 3 let. a LACI) et s'explique par le fait qu'il n'appartient pas à la caisse cantonale de chômage de vérifier de manière approfondie, au moment du dépôt du préavis ou en cours d'indemnisation, si toutes les conditions du droit à l'indemnité sont remplies, mais à l'organe de compensation (cf. consid. 2.3), lors d'éventuels contrôles subséquents (cf. arrêt du TF C 208/2 du 27 octobre 2003 consid. 4.3). Compte tenu des informations dont elle disposait, la recourante était à même de saisir la nature et les exigences d'un tel contrôle ou, à tout le moins, de se renseigner à ce propos auprès des autorités. Partant, son premier argument doit être écarté.</w:t>
      </w:r>
    </w:p>
    <w:p>
      <w:r>
        <w:rPr>
          <w:b/>
        </w:rPr>
        <w:t>E. 4.3.2</w:t>
      </w:r>
    </w:p>
    <w:p>
      <w:r>
        <w:t>La recourante tire le second argument de son droit d'être entendu. Ce droit, tel que garanti par l'art. 29 al. 2 de la Constitution fédérale de la Confédération suisse du 18 avril 1999 (Cst., RS 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133 I 270 consid. 3.1). Il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131 I 153 consid. 3). Contestant le refus de l'autorité inférieure de procéder à une audition de ses trois employés, la recourante se réfère, en particulier, à un arrêt du Tribunal fédéral du 26 mars 1998 (cf. consid. A.c et B.). Selon elle, celui-ci aurait considéré qu'une telle mesure d'instruction se justifiait, pour le cas où un employeur aurait omis d'établir un contrôle du temps de travail. Tel n'est cependant pas ce qui ressort de la lecture de cet arrêt (cf. arrêt du TF C 362/96 du 26 mars 1998). En effet, dans cette affaire, le Tribunal fédéral ne s'est pas prononcé sur la question de l'opportunité de l'audition de témoins, mais s'est limité à trancher celle de savoir à quelle autorité - dans le cas d'espèce, la Caisse cantonale genevoise de chômage (ci-après : l'autorité administrative cantonale) ou la Commission cantonale genevoise de recours en matière d'assurance-chômage (ci-après : l'autorité judiciaire cantonale) - il incombait, le cas échéant, d'auditionner les employés de la société sujette à restitution d'indemnités en cas de RHT. Ne statuant ainsi pas sur le fond même du litige, il n'a fait qu'annuler la décision de l'autorité judiciaire cantonale et lui a renvoyé l'affaire. Il a considéré, à cet égard, que si celle-ci estimait qu'une audition de témoins était encore nécessaire pour établir des faits déterminants, il lui appartenait d'y procéder directement, soulignant que, pour des raisons liées à l'opportunité et à la nature même de cette mesure d'instruction, elle était plus apte à le faire que l'autorité administrative cantonale. L'autorité judiciaire cantonale y a procédé, par la suite, et a rendu une nouvelle décision en date du 1er septembre 1999. Ce n'est que dans le cadre du recours interjeté par le SECO contre cette nouvelle décision que le Tribunal fédéral s'est prononcé, le 12 mai 2000, sur la question de l'audition d'employés en matière d'assurance-chômage (cf. arrêt du TF précité C 367/99). A cette occasion, il a cependant indiqué que, même si l'on pouvait déduire de témoignages qu'une réduction de l'horaire de travail avait bien eu lieu, que des plans de réduction de l'horaire de travail avaient été établis avant les périodes chômées et communiqués aux employés qui devaient les respecter, il convenait toutefois de retenir que, malgré ces mesures, la perte de travail n'était pas suffisamment contrôlable ; il n'était ainsi pas possible de connaître la perte de travail journalière ou hebdomadaire pour chaque employé, compte tenu également de la compensation d'heures supplémentaires pendant chaque période de décompte (cf. arrêt du TF précité C 367/99 consid. 2c). De même, selon la jurisprudence constante en la matière, en l'absence de documents propres à déterminer l'horaire de travail, ces derniers ne peuvent être remplacés ni par l'interrogation ultérieure des travailleurs concernés ni par d'autres personnes, dans la mesure où il est improbable que ces personnes puissent donner, de mémoire, une information détaillée sur les horaires de travail en question (cf. arrêt du TF C 229/00 du 30 juillet 2001 consid. 1b ; arrêt du TAF B-8569/2007 du 24 juin 2008 consid. 2.3). Ainsi, à supposer même que C._______, D._______ et E._______ soient personnellement en mesure de confirmer le montant des heures perdues qu'ils ont déclarées, il demeure toutefois improbable qu'ils puissent établir de manière détaillée et précise les horaires de travail qu'ils ont effectués pendant les périodes concernées, remontant pour les plus anciennes à février 2009. Il ne peut, dès lors, être fait grief à l'autorité inférieure d'avoir refusé d'entendre ces employés comme témoins. Pour les motifs exposés ci-dessus, ni leurs déclarations du 31 août 2008 ni leur audition ne pouvaient être considérées comme déterminantes pour l'issue de la cause. Partant, la requête tendant à cette mesure d'instruction doit être rejetée et le second argument de la recourante écarté.</w:t>
      </w:r>
    </w:p>
    <w:p>
      <w:r>
        <w:rPr>
          <w:b/>
        </w:rPr>
        <w:t>E. 5</w:t>
      </w:r>
    </w:p>
    <w:p>
      <w:r>
        <w:t>Il ressort de ce qui précède que c'est à juste titre, et sans qu'il soit question de formalisme excessif (cf. arrêt du TF C 115/06 du 4 septembre 2006 consid. 2.2 ; arrêt du TAF précité B-7898/2007 consid. 3.3), que l'autorité inférieure a considéré comme insuffisamment contrôlables les pertes de travail invoquées pour C._______, E._______ et D._______ et qu'elle a exigé, pour ce motif, la restitution complète des indemnités versées en leur faveur pendant les périodes allant de février 2009 à mai 2010, pour un total de Fr. 159'194.35. Il s'ensuit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6</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3'000.-. Ils sont compensés par l'avance de frais déjà versée de Fr. 4'000.-. Le solde de Fr. 1'000.- sera restitué à la recourante, dès l'entrée en force du présent arrêt.</w:t>
      </w:r>
    </w:p>
    <w:p>
      <w:r>
        <w:rPr>
          <w:b/>
        </w:rPr>
        <w:t>E. 7</w:t>
      </w:r>
    </w:p>
    <w:p>
      <w:r>
        <w:t>Il n'y a pas lieu d'allouer de dépens à la recourante qui succombe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