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B-8052/2008 vom 29. Oktober 2009</w:t>
      </w:r>
    </w:p>
    <w:p>
      <w:r>
        <w:t>Bundesverwaltungsgericht, 2009-10-29, FR</w:t>
      </w:r>
    </w:p>
    <w:p>
      <w:r>
        <w:rPr>
          <w:b/>
        </w:rPr>
        <w:t xml:space="preserve">Quelle: </w:t>
      </w:r>
      <w:r>
        <w:t>https://mcp.opencaselaw.ch/entscheid/bvger_B-8052_2008</w:t>
      </w:r>
    </w:p>
    <w:p>
      <w:r>
        <w:t>FR: TAF B-8052/2008 du 29 octobre 2009</w:t>
      </w:r>
    </w:p>
    <w:p>
      <w:r>
        <w:t>IT: TAF B-8052/2008 del 29 ottobre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décision attaquée revêt la qualité de décision sur opposition au sens de l'art. 5 al. 2 PA émanant d'une autorité au sens de l'art. 33 let. e LTAF. Aucune des clauses d'exception de l'art. 32 LTAF n'étant par ailleurs réalisée, le Tribunal administratif fédéral est donc compétent pour statuer sur le présent recours. La recourante, qui a pris part à la procédure devant l'autorité inférieure, est spécialement atteinte par cette décision et a un intérêt digne de protection à son annulation ou à sa modification. La qualité pour recourir doit dès lors lui être reconnue (art. 48 al. 1 let. a à c PA). 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La marque est un signe propre à distinguer les produits ou les services d'une entreprise de ceux d'autres entreprises (art. 1 al. 1 de la loi fédérale du 28 août 1992 sur la protection des marques (LPM, RS 232.11). A teneur de l'art. 3 al. 1 let. c LPM, sont exclus de la protection comme marque les signes similaires à une marque antérieure et destinés à des produits identiques ou similaires lorsqu'il en résulte un risque de confusion.</w:t>
      </w:r>
    </w:p>
    <w:p>
      <w:r>
        <w:rPr>
          <w:b/>
        </w:rPr>
        <w:t>E. 3</w:t>
      </w:r>
    </w:p>
    <w:p>
      <w:r>
        <w:t>Il n'est en l'espèce pas contesté que l'enregistrement international n° 920'743 «G-STAR», inscrit le 15 février 2007 au registre international, est antérieur à la marque suisse n° 564'970 «X-STAR» déposée le 21 juin 2007.</w:t>
      </w:r>
    </w:p>
    <w:p>
      <w:r>
        <w:rPr>
          <w:b/>
        </w:rPr>
        <w:t>E. 4</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B-201/2009 du 26 mai 2009 consid. 3 Atlantic/TISSOT ATLAN-T).</w:t>
      </w:r>
    </w:p>
    <w:p>
      <w:r>
        <w:rPr>
          <w:b/>
        </w:rPr>
        <w:t>E. 5</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(LUCAS DAVID, Kommentar zum schweizerischen Privatrecht, Markenschutzgesetz, Muster- und Modellgesetz, 2e éd., Bâle 1999, MSchG, n° 8 et 35 ad art. 3). A l'instar de l'IPI, il convient en l'espèce de conclure à l'identité des produits revendiqués, les produits visés par la marque attaquée se retrouvant à l'identique dans ceux désignés par la marque opposante.</w:t>
      </w:r>
    </w:p>
    <w:p>
      <w:r>
        <w:rPr>
          <w:b/>
        </w:rPr>
        <w:t>E. 6</w:t>
      </w:r>
    </w:p>
    <w:p>
      <w:r>
        <w:t>Les produits revendiqués par les marques en présence sont destinés à un même cercle de consommateurs. Dès lors qu'il s'agit de biens de consommation courante destinés à un consommateur moyen, il y a lieu d'admettre que, lors de l'acquisition de tels produits, le degré d'attention de l'acheteur est peu élevé, ce qui tend à accroître le risque de confusion (arrêt du TAF B-5440/2008 du 24 juillet 2009 consid. 4.2 Jump/JUMPMAN).</w:t>
      </w:r>
    </w:p>
    <w:p>
      <w:r>
        <w:rPr>
          <w:b/>
        </w:rPr>
        <w:t>E. 7</w:t>
      </w:r>
    </w:p>
    <w:p>
      <w:r>
        <w:t>L'identité des produits devant être admise, il convient d'examiner la similarité entre les signes, étant établi de jurisprudence constante que c'est l'impression générale qui est déterminante car c'est elle qui reste dans l'esprit des personnes concernées (ATF 128 III 441 consid. 3.1 Appenzeller).</w:t>
      </w:r>
    </w:p>
    <w:p>
      <w:r>
        <w:rPr>
          <w:b/>
        </w:rPr>
        <w:t>E. 7.1</w:t>
      </w:r>
    </w:p>
    <w:p>
      <w:r>
        <w:t>L'IPI a en substance considéré que les signes ne concordaient que sur un élément faible et que les différences constituées par les lettres «G» et «X» suffisaient à les distinguer et à exclure un risque de confusion. Il a ajouté que le fait que la marque opposante soit, dans son ensemble, éventuellement connue comme l'invoquait la recourante, ne changeait pas cette constatation dès lors que pour l'examen de sa notoriété, la marque opposante devait être considérée dans son ensemble, que l'élément «STAR» était une indication faible et qu'un risque de confusion ne pouvait être fondé sur cet élément uniquement. La recourante fait grief à l'IPI de ne pas avoir procédé à l'analyse préalable de l'étendue de la force distinctive de la marque opposante avant d'examiner le risque de confusion entre les signes. Elle soutient dans ce contexte que la marque opposante a acquis auprès du public suisse une grande notoriété par la distribution conséquente et de longue durée des produits couverts par la marque sur l'ensemble du territoire helvétique et que dite marque est aujourd'hui reconnue et appréciée par la plupart des consommateurs suisses amateurs de jeans et de vêtements de style décontracté. Elle considère que ce signe s'est imposé en Suisse comme une marque distinctive dans son ensemble et que l'élément «-STAR» participe au champ de protection élargi de celle-ci.</w:t>
      </w:r>
    </w:p>
    <w:p>
      <w:r>
        <w:rPr>
          <w:b/>
        </w:rPr>
        <w:t>E. 7.2</w:t>
      </w:r>
    </w:p>
    <w:p>
      <w:r>
        <w:t>La comparaison des signes suppose en premier lieu de s'interroger sur l'étendue de protection de la marque opposante, celle-ci étant indispensable pour estimer le risque de confusion (arrêt du TAF B-1427/2007 du 28 février 2008 consid. 6.1 Kremlyovskaya/Kremlyevka ; directives de l'IPI du 1er juillet 2008 en matière de marques, p. 164, ci-après : les directives IPI 2008). Dans ses directives, l'IPI souligne avec raison que, quand bien même l'opposition ne peut se fonder que sur des motifs relatifs d'exclusion au sens de l'art. 3 al. 1 LPM, cela n'exclut pas de déterminer dans le cadre de l'examen du risque de confusion le contenu distinctif et ainsi le champ de protection d'une marque. L'enregistrement d'une marque ne dit en effet rien sur son caractère distinctif. Cela est dû au fait que les cas limites au regard des motifs absolus selon l'art. 2 let. a LPM doivent être enregistrés, un réexamen par les tribunaux civils étant réservé en cas de litige (directives IPI 2008, p. 164). C'est dire qu'il faut tenir compte, au moment d'examiner une opposition, des éventuels changements du caractère distinctif de la marque opposante au regard de la notoriété acquise ou du changement de la langue depuis son enregistrement. Ainsi donc, l'autorité inférieure ne peut pas admettre tacitement la validité de la marque, mais doit au contraire examiner préalablement le caractère distinctif et, dans ce contexte, également si elle s'est imposée dans le commerce comme marque (arrêt du TAF B-1698/2007 du 26 février 2008 consid. 5 MOSKOVSKAYA/moskovskaya).</w:t>
      </w:r>
    </w:p>
    <w:p>
      <w:r>
        <w:rPr>
          <w:b/>
        </w:rPr>
        <w:t>E. 7.3</w:t>
      </w:r>
    </w:p>
    <w:p>
      <w:r>
        <w:t>Le périmètre de protection d'une marque dépend de sa force distinctive. Il est plus restreint pour les marques faibles que pour les marques fortes et des différences plus modestes suffiront à créer une distinction suffisante. Sont en particulier faibles les marques dont les éléments essentiels dérivent des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 consid. 2a Kamillosan ; arrêt du TF 4C.258/2004 du 6 octobre 2004 consid. 2.2 Yello ; IVAN CHERPILLOD, Le droit suisse des marques, Lausanne 2007, p. 116). Ainsi, celui qui choisit un signe faible, qui équivaut par exemple à une indication de qualité, doit assumer les conséquences de ce choix et admettre l'existence de signes ne se distinguant que très peu du sien (Kamen Troller, Précis du droit suisse des biens immatériels, Bâle 2006, p. 88).</w:t>
      </w:r>
    </w:p>
    <w:p>
      <w:r>
        <w:rPr>
          <w:b/>
        </w:rPr>
        <w:t>E. 7.4</w:t>
      </w:r>
    </w:p>
    <w:p>
      <w:r>
        <w:t>Sont exclus de la protection à titre de marques au sens de l'art. 2 let. a LPM les signes appartenant au domaine public, sauf s'ils se sont imposés comme marques pour les produits ou les services concernés. De tels signes se caractérisent par le fait qu'ils sont à priori dépourvus de force distinctive ou assujettis à un besoin de disponibilité (ATF 131 III 121 consid. 4.1 Smarties). Appartiennent notamment au domaine public les signes descriptifs, soit les signes qui décrivent d'une façon ou d'une autre la marchandise concernée (ATF 134 III 314 consid. 2.3.2 M/M-Joy). Le fait qu'un signe soit composé d'un élément tiré d'une langue ne comptant pas au nombre des langues officielles ou nationales suisses n'exclut pas qu'il soit considéré comme ressortant du domaine public (ATF 120 II 144 consid. 3b/aa Yeni Raki). Il existe certaines indications pouvant se rapporter généralement à tout produit ou service et qui seront descriptives ou dénuées de force distinctive quel que soit le produit ou le service revendiqué. Tel est le cas des indications de qualité et des affirmations publicitaires (Cherpillod, op. cit., p. 73 ; arrêt du TAF B-8371/2007 du 19 juin 2008 consid. 4.2 Leader). Ainsi, la jurisprudence reconnaît le besoin de libre disposition pour les expressions attribuant certaines qualités à la marchandise, telles que «beau, belle, super, bon, fin», pour autant que ces désignations soient descriptives en lien avec le produit visé (ATF 131 III 121 consid. 4.2 Smarties ; Eugen Marbach, in : Roland von Büren/Lucas David [Hrsg.], Schweizerisches Immaterialgüter- und Wettbewerbsrecht, Bd III/1, Markenrecht, 2e éd., Bâle 2009, n° 312 p. 96 ; arrêt du TAF B-7424/2006 du 12 novembre 2007 consid. 3.3 Bona). De simples lettres en tant que telles, comme en l'espèce «G», constituent des signes élémentaires qui appartiennent au domaine public (ATF 134 III 314 consid. 2.3.2 M/M-Joy ; arrêt du TAF B-3512/2008 du 9 mars 2009 consid. 5.1.1.1.1 Z/Z-Brand ; David, op. cit., n° 31 ad art. 2). Quant au terme anglais «STAR», il peut revêtir la signification d'«étoile», mais également de «célèbre vedette de cinéma» ou par extension de «personne très en vue» (dictionnaire Le Nouveau petit Robert de la langue française 2007, p. 2429 ; dictionnaire de poche Larousse anglais/français 1999, p. 326). Les consommateurs suisses possédant au moins le vocabulaire de base anglais (arrêt du TAF B-1077/2008 du 3 mars 2009 consid. 6.1 Sky/SkySIM), ces derniers en comprendront aisément la signification, ce terme étant du reste entré dans le langage courant dans toutes les régions linguistiques suisses. Le vocable «STAR» doit être comparé à une indication vantant la qualité supérieure des produits visés (arrêt du TAF B-7425/2006 du 12 juillet 2007 consid. 3.2 Choco Stars ; décision de l'ancienne Commission fédérale de recours en matière de propriété intellectuelle [CREPI] du 10 février 1999 in sic! 1999 276 consid. 3 Swibo/Swico Star ; ATF 96 II 400 consid. 2 MEN'S CLUB/EDEN CLUB SUPER STAR). Force est ainsi d'admettre que la marque opposante, composée de la lettre «G» suivie d'un tiret et du terme «STAR» ne revêt qu'une force distinctive restreinte. Dans la décision attaquée, l'IPI fait valoir à cet égard que l'acceptation des marques en cause n'était due qu'à leur impression d'ensemble, caractérisée par la combinaison de «STAR» avec une lettre et un tiret.</w:t>
      </w:r>
    </w:p>
    <w:p>
      <w:r>
        <w:rPr>
          <w:b/>
        </w:rPr>
        <w:t>E. 7.5</w:t>
      </w:r>
    </w:p>
    <w:p>
      <w:r>
        <w:t>Il n'existe pas de risque de confusion juridiquement pertinent lorsque les marques à comparer concordent uniquement sur des éléments qui ne sont en soi pas dignes de protection (David, op. cit., n° 29 ad art. 3 ; arrêt du TAF B-7489/2006 du 10 décembre 2008 in sic! 2009 260 consid. 5.2 Le Gruyère Switzerland/Gruyère cuisine) et même pour une marque forte, la protection ne s'étend pas aux éléments du domaine public (décisions de la CREPI du 11 août 2005 in sic! 2005 805 consid. 4 Alba Moda/The Alba et du 11 mai 1999 in sic! 1999 420 consid. 2c Compaq/CompactFlash). Ainsi, même si une marque formée d'une combinaison d'éléments bénéficie d'une étendue de protection élargie grâce à sa notoriété, la reprise d'un élément qui doit rester à la libre disposition des concurrents ne suffit, en règle générale, pas pour créer un risque de confusion ; les marques doivent bien davantage présenter d'autres similitudes (décision de la CREPI du 12 décembre 2006 in sic! 2007 537 consid. 12 Swissair/swiss). Dans ce contexte, la CREPI n'a par exemple pas reconnu de risque de confusion entre les marques «ever-plast» et «evercare» (sic! 2002 679) ou «Natural White» et «Natural White TP.» (sic! 1999 275). En outre, dans une affaire opposant les signes figuratifs «Swatch» et «B watch», elle a nié l'existence d'un risque de confusion en relevant que même en admettant, par hypothèse, que la marque «Swatch» était une marque forte bénéficiant ainsi d'un champ de protection plus large, celui-ci ne saurait écarter les dissemblances visuelles, phonétiques et sémantiques entre les signes (sic! 2004 686). A l'inverse, la CREPI a admis dans certains cas un risque de confusion en se fondant sur des éléments faibles concordants de marques verbales, lorsque la différence entre les autres éléments n'atteignait pas un certain degré (décision du 8 décembre 2006 in sic! 2007 448 consid. 9 Actimel/Actismile avec en particulier les réf. aux décisions Elle due/Elle [sic! 2000 802] et Nicopatch/Nicoflash [sic! 1997 294] ; voir également les décisions Eurosport/Eurospot [sic! 2006 411], Prevista/Previsa [sic! 2004 780] et Baguettine/Baghetti [sic! 2004 504]).</w:t>
      </w:r>
    </w:p>
    <w:p>
      <w:r>
        <w:rPr>
          <w:b/>
        </w:rPr>
        <w:t>E. 7.6</w:t>
      </w:r>
    </w:p>
    <w:p>
      <w:r>
        <w:t>L'IPI indique dans ses directives que pour qu'un risque de confusion existe en cas de reprise d'éléments appartenant au domaine public, des conditions spécifiques doivent être remplies. La marque doit par exemple avoir acquis un degré de connaissance plus élevé dans son ensemble en fonction de la durée de son usage ou de l'intensité de la publicité et l'élément appartenant au domaine public doit participer au champ de protection élargi (directives, p. 163 et les réf. aux arrêts du TAF B-7439/2006 in sic! 2008 36 Kinder/Kinder Party et B-7491/2006 in sic! 2007 745 Yeni raki Tekel/Yeni Efe). Un signe initialement doté d'une force distinctive réduite peut s'imposer auprès du public (ATF 127 III 160 consid. 2b/cc Securitas ; arrêt du TAF précité B-3512/2008 consid. 5.1.1 Z/Z-Brand ; décisions de la CREPI du 7 avril 1998 in sic! 1998 403 consid. 4 Elle/NaturElle collection et du 19 décembre 1997 in sic! 1998 197 consid. 2c Torres, Las Torres/Baron de la Torre ; Christoph Willi, Kommentar zum schweizerischen Markenrecht unter Berücksichtigung des europäischen und internationalen Markenrechts, Zurich 2002, MSchG, n° 115 ad art. 3 ; David, op. cit., n° 29 ad art. 3 ; David Aschmann, Die Rechtsprechung der Rekurskommission für geistiges Eigentum im Jahre 2006 in sic! 2007 763, p. 767). Un signe s'est imposé dans le commerce à titre de marque dès le moment où une part importante des destinataires du produit ou service concerné le perçoivent comme une référence à une entreprise déterminée. Il n'est pas nécessaire qu'ils connaissent le nom de cette entreprise mais le signe doit être assimilé à une marque dans toute la Suisse (ATF 131 III 121 consid. 6 Smarties, 128 III 441 consid. 1.2 Appenzeller ; David, op. cit., n° 39 ad art. 2). Un signe générique ou descriptif s'étant imposé en tant que marque constitue en principe un signe dont la sphère de protection est normale (Cherpillod, op. cit., p. 117 ; Marbach, op. cit., p. 302 s. ; décision de la CREPI du 6 juin 2005 in sic! 2005 749 consid. 7 Zurich Private Bank/First Zurich Private Bank). Le caractère de marque imposée peut être constaté sur la base de faits autorisant, selon l'expérience, des déductions relatives à la perception du signe par le public. Ils peuvent en particulier consister dans un volume d'affaires très important et réalisé lors d'une longue période avec le signe en question, ou dans des efforts publicitaires intenses. Il est également possible de déterminer directement, par un sondage représentatif dans le public visé, si un mot y est perçu comme la marque de produits ou de services particuliers (ATF 131 III 121 consid. 6 Smarties).</w:t>
      </w:r>
    </w:p>
    <w:p>
      <w:r>
        <w:rPr>
          <w:b/>
        </w:rPr>
        <w:t>E. 7.7</w:t>
      </w:r>
    </w:p>
    <w:p>
      <w:r>
        <w:t>Ainsi, bien que n'étant guère imaginatif pour des produits cosmétiques, le signe «Kamillosan» a été considéré comme étant devenu fort au fil des ans, bénéficiant de ce fait d'un périmètre de protection accru ; un risque de confusion a été reconnu avec les marques «Kamillan» et «Kamillon» (ATF 122 III 382). De même, relevant que l'élément «Securi» était descriptif pour des produits et services offerts dans la branche de la sécurité et que l'on ne pouvait déduire de la notoriété acquise par «Securitas» une notoriété pour l'élément «Securi», le Tribunal fédéral a relevé qu'il ne fallait toutefois pas en déduire que ce dernier élément doive demeurer libre pour d'autres entreprises de la branche sans égard aux autres éléments du signe distinctif en cause. Admettant que la marque «Securitas», qui s'était imposée dans les affaires, n'était pas mentalement scindée en deux éléments «Securi» et «tas» par les destinataires mais qu'elle était comprise comme un tout, il a toutefois indiqué que cela ne signifiait pas que les trois premières syllabes ne revêtaient dans ce contexte aucune signification. Le signe «Securitas» était notoire en Suisse pour les services de sécurité et de surveillance et toute marque commençant par un élément «Securi» serait dans ce domaine comprise comme une référence au groupe des demanderesses ; un risque de confusion devait être reconnu notamment entre les marques «Securitas» et «Securicall» (ATF 127 III 160). Le Tribunal administratif fédéral a pour sa part considéré que l'élément «kinder», en soi descriptif des consommateurs des produits visés, avait fait l'objet d'une publicité intensive depuis de nombreuses années et était reconnu par les consommateurs en rapport avec ces produits comme une marque et un renvoi à une entreprise déterminée. En outre, cette marque était devenue un signe fort de sorte que son périmètre de protection s'en trouvait accru ; un risque de confusion a été admis avec la marque figurative «kinder Party» (arrêt du TAF B-7439/2006 du 6 juillet 2007 in sic! 2008 36). A cet égard, lorsqu'il relève dans ses directives 2008 que les marques connues bénéficient d'un caractère distinctif accru, l'IPI ajoute toutefois que le concept «imposé dans le commerce» utilisé par le Tribunal fédéral est problématique car il peut être confondu avec le concept de «marque imposée» au sens de l'art. 2 let. a LPM (p. 164, note de bas de page n° 182).</w:t>
      </w:r>
    </w:p>
    <w:p>
      <w:r>
        <w:rPr>
          <w:b/>
        </w:rPr>
        <w:t>E. 7.8</w:t>
      </w:r>
    </w:p>
    <w:p>
      <w:r>
        <w:t>Au stade de l'opposition devant l'IPI, la recourante avait produit diverses pièces à l'appui de son allégation selon laquelle la marque opposante avait acquis une notoriété et un degré de connaissance très élevé en Suisse ; il s'agissait de listes de magasins détaillants en Suisse dans lesquels les produits munis de la marque étaient vendus, de chiffres d'affaires réalisés par la marque de 2001 à 2007, de budgets promotionnels et de publicité pour dite marque de 2001 à 2007, de factures concernant la Suisse et l'Allemagne de 1998 à 2005 ainsi que d'extraits de magazines suisses et allemands de 2000 à 2008. Devant le Tribunal de céans, la recourante a, à nouveau, produit des pièces tendant selon elle à démontrer la grande notoriété acquise par la marque opposante en Suisse et son imposition, soit notamment des listes de magasins dans lesquels étaient commercialisés les produits «G-STAR», des extraits de magazines à destination de la Suisse, des chiffres d'affaires de 2001 à 2008, un grand nombre de factures émises à destination de la Suisse entière concernant les produits «G-STAR» entre 1997 et 2008 ainsi que trois décisions de l'OHMI ayant reconnu la notoriété de la marque «G-STAR» en Europe et au Bénélux. Elle a en outre déposé les résultats d'un sondage d'opinion visant selon elle a établir que la marque «G-STAR» s'est non seulement imposée dans son ensemble, y compris l'élément «STAR», mais fait également l'objet d'une renommée importante en Suisse.</w:t>
      </w:r>
    </w:p>
    <w:p>
      <w:r>
        <w:rPr>
          <w:b/>
        </w:rPr>
        <w:t>E. 7.9</w:t>
      </w:r>
    </w:p>
    <w:p>
      <w:r>
        <w:t>Il a été relevé ci-dessus (consid. 7.2) que l'appréciation du champ de protection de la marque opposante constitue une condition préalable à l'examen du risque de confusion entre deux signes. Ceci se justifie d'autant plus que, comme en attestent les exemples cités, une marque originellement faible ou dotée d'une force distinctive restreinte peut, avec le temps, acquérir une certaine renommée auprès des consommateurs visés, l'élément appartenant au domaine public pouvant participer au champ de protection élargi. Or, en l'espèce, dans la décision attaquée, l'IPI n'a pas examiné si, comme le prétendait la recourante dans son mémoire d'opposition, la marque opposante avait acquis une notoriété et un degré de connaissance élevé en Suisse, se limitant à considérer que «le fait que la marque opposante soit éventuellement une marque connue (dans son ensemble), ne change rien au fait que "STAR" est une indication faible et qu'un risque de confusion ne peut être fondé sur cet élément uniquement». Pourtant, comme l'indique lui-même l'IPI dans ses directives, un risque de confusion peut exister en cas de reprise d'éléments appartenant au domaine public lorsque des conditions spécifiques sont remplies ; la marque doit par exemple avoir acquis un degré de connaissance plus élevé dans son ensemble en fonction de la durée de son usage ou de l'intensité de la publicité et l'élément appartenant au domaine public doit participer au champ de protection élargi (supra consid. 7.6). Selon l'art. 61 al. 1 PA, l'autorité statue elle-même sur l'affaire ou exceptionnellement la renvoie avec des instructions impératives à l'autorité inférieure. Dans la présente affaire, il convient de constater que l'IPI n'a, à tort, pas procédé à l'examen de la force distinctive de la marque opposante préalablement à l'appréciation du risque de confusion. Ce faisant, il n'a pas déterminé si la marque opposante «G-STAR» avait, comme le prétendait la recourante, acquis dans son ensemble, y compris avec l'élément «STAR», une certaine notoriété et un degré de connaissance élevé en Suisse qui pourrait suppléer à sa faiblesse originelle et dont il conviendrait de tenir compte, le cas échéant, dans l'appréciation du risque de confusion. Ainsi, l'IPI ne s'est pas matériellement prononcé de manière complète sur l'opposition. A cet égard, il sied de relever qu'invité à se prononcer sur le recours, ce dernier s'est limité à renvoyer à la motivation de sa décision, malgré les arguments développés par la recourante. Partant, il se justifie de renvoyer l'affaire à l'IPI afin qu'il rende une nouvelle décision en examinant en premier lieu l'aire de protection à accorder à la marque opposante et qu'il apprécie à nouveau, dans un second temps et compte tenu de la conclusion à laquelle il sera parvenu, le risque de confusion entre les deux signes en cause. Dans le cas contraire, les parties perdraient le bénéfice d'une part de leurs droits en première instance (arrêt du TAF B-7352/2008 du 17 juin 2009 consid. 7.3 Torres/Torre Saracena). A cet effet, l'IPI prendra également en compte les pièces nouvellement produites par la recourante en procédure de recours ainsi que les résultats du sondage d'opinion.</w:t>
      </w:r>
    </w:p>
    <w:p>
      <w:r>
        <w:rPr>
          <w:b/>
        </w:rPr>
        <w:t>E. 8</w:t>
      </w:r>
    </w:p>
    <w:p>
      <w:r>
        <w:t>Parallèlement à la procédure d'opposition n° 9509 fondée sur la marque internationale n° 920'743 «G-STAR» objet de la présente procédure de recours, la recourante avait en outre formé opposition (n° 9516) contre la marque attaquée en invoquant cette fois la marque prétendument notoire «G-STAR», conformément à l'art. 3 al. 2 let. b LPM à teneur duquel on entend également par marques antérieures les marques qui, au moment du dépôt du signe tombant sour le coup de l'art. 3 al. 1 LPM, sont notoirement connues en Suisse au sens de l'art. 6bis de la Convention de Paris pour la protection de la propriété industrielle révisée à Stockholm le 14 juillet 1967 (CUP, RS 0.232.04). L'art. 3 al. 2 let. b LPM constitue une exception au principe selon lequel, dans le conflit entre deux marques, la première enregistrée a, selon le droit suisse actuel, des droits prioritaires : il protège une marque plus ancienne non enregistrée par rapport à une marque identique ou similaire prêtant à confusion, pour autant qu'elle soit notoirement connue en Suisse au sens de l'art. 6bis CUP au moment du dépôt de la seconde marque (ATF 130 III 267 consid. 4.1 Tripp Trapp). Dans sa décision du 13 novembre 2008 relative à cette procédure d'opposition n° 9516, relevant que les conditions posées pour admettre qu'une marque soit notoirement connue étaient plus élevées que celles liées à la marque connue, qui, par son implantation sur le marché disposait d'un champ de protection étendu, l'IPI a constaté que sur le vu des documents présentés par la recourante, la marque «G-STAR» était utilisée et connue en Suisse (et au-delà) en rapport avec les produits de la classe 25. Il a relevé que l'examen du degré de connaissance du signe ne pouvait se faire sur la simple vue de documents tels que factures, publicité, chiffres d'affaires qui, bien que rendant vraisemblable une certaine intensité de l'usage du signe laissant supposer un succès commercial et une connaissance de la marque par le consommateur, n'étaient pas à même d'établir l'impact réel de la marque auprès du consommateur (degré de notoriété). Le fait qu'une large publicité soit effectuée ou qu'un produit soit vendu (même avec grand succès) ne disait encore rien sur le véritable degré de notoriété du signe permettant à celui qui s'en prévaut d'obtenir un droit de marque sans l'avoir enregistré. L'IPI a ajouté qu'un tel examen nécessiterait une analyse objective du marché à l'aide d'une enquête auprès d'un échantillon représentatif des cercles de consommateurs visés, par exemple un sondage d'opinion, et qu'il devrait pouvoir être établi, au moyen de questions précises et serrées, le pourcentage ou degré de reconnaissance du signe. L'IPI a rejeté l'opposition en considérant que les documents fournis par la recourante ne permettaient pas d'établir la reconnaissance du signe par le consommateur et donc son degré de notoriété et qu'elle ne pouvait donc pas se prévaloir d'une marque antérieure au sens de l'art. 3 al. 2 let. b LPM. Dans la présente affaire, fondée quant à elle sur la procédure d'opposition n° 9509, la recourante indique que, suite à la décision de l'IPI dans la procédure d'opposition n° 9516, elle a entrepris de conduire un sondage d'opinion, qu'elle produit devant de Tribunal de céans, et que le caractère notoire de la marque opposante reste donc une question ouverte laissée à l'appréciation dudit tribunal. En l'espèce, il convient de relever que la décision de l'IPI concernant la procédure d'opposition n° 9516 n'a pas été déférée au Tribunal administratif fédéral et est par voie de conséquence entrée en force de chose jugée. Partant, l'IPI, pas plus que le Tribunal administratif fédéral, ne sauraient revenir sur la question de savoir si la marque «G-STAR» doit être considérée comme une marque notoirement connue au sens de l'art. 3 al. 2 let. b LPM. Le sondage d'opinion nouvellement produit au cours de la procédure de recours n'a donc pas à être examiné sous cet angle précis. En revanche, cette pièce doit être prise en considération par l'IPI dans l'examen du champ de protection à accorder à la marque opposante.</w:t>
      </w:r>
    </w:p>
    <w:p>
      <w:r>
        <w:rPr>
          <w:b/>
        </w:rPr>
        <w:t>E. 9</w:t>
      </w:r>
    </w:p>
    <w:p>
      <w:r>
        <w:t>Il résulte de ce qui précède que le recours doit être admis au sens des considérants et la décision de l'IPI du 13 novembre 2008 concernant la procédure d'opposition n° 9509 annulée. L'affaire est renvoyée à l'IPI afin qu'il rende une nouvelle décision dans le sens des considérants.</w:t>
      </w:r>
    </w:p>
    <w:p>
      <w:r>
        <w:rPr>
          <w:b/>
        </w:rPr>
        <w:t>E. 10.1</w:t>
      </w:r>
    </w:p>
    <w:p>
      <w:r>
        <w:t>Les frais de procédure, comprenant l'émolument judiciaire et les débours, sont mis à la charge de la partie qui succombe. Si celle-ci n'est déboutée que partiellement, ces frais sont réduits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En l'espèce, les frais de procédure doivent être fixés à Fr. 4'000.-. Vu l'issue de la procédure et les circonstances particulières afférentes à la présente affaire, il se justifie de répartir les frais par moitié entre la recourante et l'intimée. Un montant de Fr. 2'000.- est ainsi imputé sur l'avance de frais de Fr. 5'000.- versée par la recourante le 7 janvier 2009. Le solde de Fr. 3'000.- lui est restitué. L'intimée est invitée à s'acquitter d'un montant de Fr. 2'000.- au moyen du bulletin de versement joint en annexe dans les 30 jours dès la notification du présent arrêt.</w:t>
      </w:r>
    </w:p>
    <w:p>
      <w:r>
        <w:rPr>
          <w:b/>
        </w:rPr>
        <w:t>E. 10.2</w:t>
      </w:r>
    </w:p>
    <w:p>
      <w:r>
        <w:t>La partie qui obtient gain de cause a droit aux dépens pour les frais nécessaires causés par le litige (art. 64 al. 1 PA en lien avec l'art. 7 al. 1 FITAF). Les dépens comprennent les frais de représentation et les éventuels autres frais nécessaires de la partie (art. 8 FITAF). Les parties qui ont droit aux dépens doivent faire parvenir au Tribunal, avant le prononcé de la décision, un décompte de leurs prestations. Le Tribunal fixe les dépens sur la base du décompte (art. 14 al. 1 et 2 FITAF). La recourante a fait parvenir au Tribunal de céans des notes d'honoraires pour un montant total de Fr. 19'218.- relatives aux procédures de première instance et de recours. Il convient d'une part de retrancher de cette somme le montant de Fr. 5'000.- demandé en restitution de l'avance de frais versée devant le Tribunal administratif fédéral (supra consid. 10.1). D'autre part, les frais inhérents au sondage d'opinion, d'un montant d'environ Fr. 5'000.-, devront être examinés dans le cadre de la nouvelle décision à rendre par l'IPI. Reste donc un montant requis d'environ Fr. 6'500.- pour la présente procédure de recours. En l'espèce, les dépens doivent équitablement être fixés à Fr. 4'500.-. Pour les mêmes raisons évoquées ci-dessus concernant les frais de procédure (consid. 10.1), il se justifie de réduire ces dépens de moitié. Partant, une indemnité de Fr. 2'250.- (TVA non comprise) est allouée à la recourante à titre de dépens et mise à la charge de l'intimée. La taxe sur la valeur ajoutée n'est due que pour les prestations de services fournies à titre onéreux sur le territoire suisse et non lorsque, comme en l'espèce, la prestation de service du mandataire est fournie pour un recourant ayant son siège à l'étranger (art. 5 let. b de la loi fédérale du 2 septembre 1999 sur la TVA [LTVA, RS 641.20] en lien avec l'art. 14 al. 3 let. c LTVA et l'art. 9 al. 1 let. c FITAF).</w:t>
      </w:r>
    </w:p>
    <w:p>
      <w:r>
        <w:rPr>
          <w:b/>
        </w:rPr>
        <w:t>E. 11</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