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B-8028/2010 vom 2. Mai 2012</w:t>
      </w:r>
    </w:p>
    <w:p>
      <w:r>
        <w:t>Bundesverwaltungsgericht, 2012-05-02, DE</w:t>
      </w:r>
    </w:p>
    <w:p>
      <w:r>
        <w:rPr>
          <w:b/>
        </w:rPr>
        <w:t xml:space="preserve">Quelle: </w:t>
      </w:r>
      <w:r>
        <w:t>https://mcp.opencaselaw.ch/entscheid/bvger_B-8028_2010</w:t>
      </w:r>
    </w:p>
    <w:p>
      <w:r>
        <w:t>FR: TAF B-8028/2010 du 2 mai 2012</w:t>
      </w:r>
    </w:p>
    <w:p>
      <w:r>
        <w:t>IT: TAF B-8028/2010 del 2 maggio 2012</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und 33 Bst. d des Verwaltungsgerichtsgesetzes vom 17. Juni 2005 [VGG, SR 173.32]). Die Beschwerde wurde innerhalb der gesetzlichen Frist von Art. 50 des Bundesgesetzes vom 20. Dezember 1968 über das Verwaltungsverfahren (VwVG, SR 172.021) am 15. November 2010 frist- und formgerecht eingereicht (Art. 52 Abs. 1 VwVG) und der verlangte Kostenvorschuss rechtzeitig geleistet (Art. 63 Abs. 4 VwVG). Als Adressat der angefochtenen Verfügung ist der Beschwerdeführer beschwert und hat ein schutzwürdiges Interesse an ihrer Aufhebung oder Änderung. Er ist somit zur Beschwerdeführung legitimiert (Art. 48 Abs. 1 VwVG). Ebenso liegen die übrigen Sachurteilsvoraussetzungen gemäss Art. 48 ff. VwVG vor. Auf die Beschwerde ist daher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der älteren Marke Widerspruch gegen entsprechende jüngere Markeneintragungen erheben (Art. 31 Abs. 1 MSchG). Vorliegend erhob die ältere internationale Registrierung Nr. 897 928 "VIEW", welche am 16. Mai 2006 in das internationale Register eingetragen wurde, Widerspruch gegen die am 10. April 2008 im Schweizerischen Handelsblatt (SHAB) veröffentlichte und damit jüngere schweizerische Marke CH-Nr. 569 658 "SWISSVIEW (fig.)". Der am 10. Mai 2008 erhobene Widerspruch erfolgte rechtzeitig (vgl. Art. 31 Abs. 2 MSchG).</w:t>
      </w:r>
    </w:p>
    <w:p>
      <w:r>
        <w:rPr>
          <w:b/>
        </w:rPr>
        <w:t>E. 3.1</w:t>
      </w:r>
    </w:p>
    <w:p>
      <w:r>
        <w:t>Zeichen sind gemäss Art. 3 Abs. 1 Bst.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378 E. 2a BOSS/BOKS, BGE 119 II 473 E. 2d Radion/Radiomat; Urteile des Bundesverwaltungsgerichts B-7934/2007 vom 26. August 2009 E. 2.1 Fructa/Fructaid, B 3578/2007 vom 31. Oktober 2007 E. 2 Focus/Pure Focus, B 7492/2006 vom 12. Juli 2007 E. 3 Aromata/Aromathera; siehe auch Eugen Marbach, Markenrecht, in: Roland von Büren /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MSchG Art. 3 N. 8).</w:t>
      </w:r>
    </w:p>
    <w:p>
      <w:r>
        <w:rPr>
          <w:b/>
        </w:rPr>
        <w:t>E. 3.2</w:t>
      </w:r>
    </w:p>
    <w:p>
      <w:r>
        <w:t>Für die Beurteilung der Verwechslungsgefahr gemäss Art. 3 Abs. 1 MSchG ist ausschlaggebend, ob aufgrund der Ähnlichkeit Fehlzurechnungen zu befürchten sind, welche das besser berechtigte Zeichen in seiner Individualisierungsfunktion gefährden (BGE 127 III 166 E. 2a Securitas).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97 f. E. 2a Orfina/Orfina, BGE 127 III 166 E. 2a Securitas, Urteil des Bundesgerichts 4C.171/2001 vom 5. Oktober 2001 E. 1b Stoxx/StockX [fig.], veröffentlicht in sic! 2002 S. 99, BGE 122 III 382 ff. Kamillosan).</w:t>
      </w:r>
    </w:p>
    <w:p>
      <w:r>
        <w:rPr>
          <w:b/>
        </w:rPr>
        <w:t>E. 3.3</w:t>
      </w:r>
    </w:p>
    <w:p>
      <w:r>
        <w:t>Damit eine Verwechslungsgefahr droht, müssen aber noch weitere Faktoren hinzukommen. Zu berücksichtigen sind im Einzelfall der Aufmerksamkeitsgrad, mit dem die Abnehmer bestimmte Waren oder Dienstleistungen nachfragen, sowie die Kennzeichnungskraft, da diese massgeblich den Schutzumfang einer Marke bestimmt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Für schwächere Marken ist der geschützte Ähnlichkeitsbereich kleiner als für starke. Bei schwachen Marken genügen daher schon bescheidenere Abweichungen, um eine hinreichende Unterscheidbarkeit zu schaffen (BGE 122 III 382 E. 2a Kamillosan; Urteil des Bundesverwaltungsgerichts B-6046/2008 vom 3. November 2010 E. 3.3 R Rothmans [fig.]/Roseman Crown Agencies KING SIZE [fig.], B 2653/2008 vom 1. Dezember 2008 E. 3.3 monari c./ANNA MOLINARI). Als schwach gelten insbesondere Marken, deren wesentliche Bestandteile sich eng an Sachbegriffe des allgemeinen Sprachgebrauchs anlehnen (BVGE 2010/32 E. 7.3 Pernaton/Pernadol, Urteil des Bundesverwaltungsgerichts B 7492/2006 vom 12. Juli 2007 E. 5 Aromata/Aromathera). Stark sind demgegenüber Marken, die entweder aufgrund ihres fantasiehaften Gehalts auffallen oder aber sich im Verkehr durchgesetzt haben (BGE 122 III 382 E. 2a Kamillosan, mit Hinweisen; Urteil des Bundesgerichts 4C.258/2004 vom 6. Oktober 2004 E. 2.2 Yello; Marbach, SIWR III/1., N. 979 mit Hinweis auf Urteil des Bundesverwaltungsgerichts B 7475/2006 vom 20. Juni 2007 E. 6 und 7 Converse All Stars [fig.]/Army tex [fig.] und Entscheid der RKGE vom 26. Oktober 2006 E. 7 Red Bull [fig.]/Red, Red Devil, veröffentlicht in sic! 2007 S. 531). Die Verwechselbarkeit zweier Zeichen ist daher nicht aufgrund eines abstrakten Zeichenvergleichs, sondern stets vor dem Hintergrund der gesamten Umstände zu beurteilen (Urteil des Bundesverwaltungsgerichts B-6046/2008 vom 3. November 2010 R Rothmans [fig] / Roseman Crown Agencies KING SIZE [fig.]).</w:t>
      </w:r>
    </w:p>
    <w:p>
      <w:r>
        <w:rPr>
          <w:b/>
        </w:rPr>
        <w:t>E. 4.1</w:t>
      </w:r>
    </w:p>
    <w:p>
      <w:r>
        <w:t>Als erstes sind die massgeblichen Verkehrskreise für die im Widerspruch stehenden Waren und Dienstleistungen zu bestimmen (Eugen Marbach, Die Verkehrskreise im Markenrecht, in: sic! 1/2007, S. 1, 6 f. und 11). Ausgangspunkt für die Bestimmung der Verkehrskreise ist das Waren- und Dienstleistungsverzeichnis der älteren Marke (vgl. Joller, a.a.O., Art. 3, N. 49). Dabei spielt es entgegen der Meinung des Beschwerdeführers keine Rolle, welche marketingmässige Positionierung der Hinterleger mit seinen Waren und Dienstleistungen bezweckt (Joller, a.a.O., Art. 3 N. 49). Aus diesem Grund sind seine diesbezüglichen Einwendung nicht zu hören (vgl. Ziffern 1.4 und 2.4 ff. der Replik).</w:t>
      </w:r>
    </w:p>
    <w:p>
      <w:r>
        <w:rPr>
          <w:b/>
        </w:rPr>
        <w:t>E. 4.1.1</w:t>
      </w:r>
    </w:p>
    <w:p>
      <w:r>
        <w:t>Die von der Widerspruchsmarke beanspruchten Waren der Klasse 9 sind alltägliche Produkte aus dem Bereich Elektronik, Musik- bzw. Datenspeicherung und IT. Hard- und Software, sowie Datenübertragungs- und Aufnahmegeräte, sowie Datenträger richten sich sowohl an Spezialisten als auch an den Durchschnittskonsumenten.</w:t>
      </w:r>
    </w:p>
    <w:p>
      <w:r>
        <w:rPr>
          <w:b/>
        </w:rPr>
        <w:t>E. 4.1.2</w:t>
      </w:r>
    </w:p>
    <w:p>
      <w:r>
        <w:t>Auch die in Klasse 35, 38 und 41 beanspruchten Dienstleistungen sind solche, welche von Durchschnittskonsumenten aber auch von Fachkräften in Anspruch genommen werden.</w:t>
      </w:r>
    </w:p>
    <w:p>
      <w:r>
        <w:rPr>
          <w:b/>
        </w:rPr>
        <w:t>E. 4.2</w:t>
      </w:r>
    </w:p>
    <w:p>
      <w:r>
        <w:t>Die Bestimmung der massgeblichen Verkehrskreise ist im Rahmen der Prüfung einer allfälligen Verwechslungsgefahr zweier Marken, vor allem in Bezug auf die Frage zu dessen Aufmerksamkeit, von Bedeutung. Je höher die Aufmerksamkeit bei der in Inanspruchnahme der fraglichen Dienstleistungen, desto höher ist das Unterscheidungsvermögen der angesprochenen Abnehmerkreise (Joller, a.a.O., Art. 3 N. 52).</w:t>
      </w:r>
    </w:p>
    <w:p>
      <w:r>
        <w:rPr>
          <w:b/>
        </w:rPr>
        <w:t>E. 4.2.1</w:t>
      </w:r>
    </w:p>
    <w:p>
      <w:r>
        <w:t>Wie bereits dargelegt, bildet sich der massgebliche Verkehrskreis der in Klasse 9 beanspruchten Waren aus Endabnehmer, d.h. Durchschnittskonsumenten, und Fachpersonen aus der IT- und Elektronikbranche. Die betroffenen Waren werden zwar mit einer bestimmten Regelmässigkeit, aber doch nicht täglich erworben, so dass angenommen werden muss, dass der vorliegende Abnehmer den Markeninhaber bewusster, und daher zumindest mit einer leicht erhöhten Aufmerksamkeit aussucht.</w:t>
      </w:r>
    </w:p>
    <w:p>
      <w:r>
        <w:rPr>
          <w:b/>
        </w:rPr>
        <w:t>E. 4.2.2</w:t>
      </w:r>
    </w:p>
    <w:p>
      <w:r>
        <w:t>Auch in Bezug auf die in Klasse 35 beanspruchten Werbedienstleistungen ist festzustellen, dass diese keine alltäglichen Bedürfnisse abdecken und grundsätzlich eine intensivere wirtschaftliche Beziehung voraussetzen. Weiter haben solche Dienstleistungen eine möglichst gute Positionierung eines Images zum Inhalte, weshalb gerade der bestimmte Ruf eines Dienstleistungsanbieter bei dessen Auswahl nicht zu unterschätzen ist, so dass anzunehmen ist, dass der Abnehmer seinen Dienstleistungserbringer sorgfältig aussucht und dabei einen leicht erhöhten Grad an Aufmerksamkeit walten lässt (vgl. auch Urteil des Bundesverwaltungsgerichts B-1009/2010 vom 14. März 2011, E.3.3.1 CREDIT SUISSE/UniCredit Suisse Bank [fig.]).</w:t>
      </w:r>
    </w:p>
    <w:p>
      <w:r>
        <w:rPr>
          <w:b/>
        </w:rPr>
        <w:t>E. 4.2.3</w:t>
      </w:r>
    </w:p>
    <w:p>
      <w:r>
        <w:t>Die in Klasse 41 beanspruchten Unterhaltungs- und kulturellen Aktivitätsdienstleistungen werden mit einer gewissen Regelmässigkeit und daher mit einer normalen Aufmerksamkeit in Anspruch genommen.</w:t>
      </w:r>
    </w:p>
    <w:p>
      <w:r>
        <w:rPr>
          <w:b/>
        </w:rPr>
        <w:t>E. 5</w:t>
      </w:r>
    </w:p>
    <w:p>
      <w:r>
        <w:t>In einem weiteren Schritt ist zu überprüfen, ob die beanspruchten Waren und Dienstleistungen der sich gegenüberstehenden Marken aus Sicht der Verkehrskreise identisch oder zumindest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(Urteile des Bundesverwaltungsgericht B 6665/2010 vom 21. Juli 2011 E. 5.1 HOME BOX OFFICE/Box Office, B 4159/2009 vom 25. November 2009 E. 3.1 EFE [fig.] / EVE, mit Verweis u.a. auf David, a.a.O., Art. 3 N. 35).</w:t>
      </w:r>
    </w:p>
    <w:p>
      <w:r>
        <w:rPr>
          <w:b/>
        </w:rPr>
        <w:t>E. 5.2</w:t>
      </w:r>
    </w:p>
    <w:p>
      <w:r>
        <w:t>Als markenrechtlich identisch gelten Waren, wenn die von der angefochtenen Marke beanspruchte Ware unter den von der älteren Marke geschützten Oberbegriff fällt (Joller, a.a.O., Art. 3 N. 242). Ist die Ware nicht unter den von der älteren Marke beanspruchten Begriff subsumierbar, ist zu prüfen, ob zumindest eine Gleichartigkeit vorliegt. Dabei spricht für das Vorliegen, wenn sich die Waren unter den gleichen Oberbegriff der Nizza-Klassifikation subsumieren lassen (Joller, a.a.O., Art. 3 N. 246).</w:t>
      </w:r>
    </w:p>
    <w:p>
      <w:r>
        <w:rPr>
          <w:b/>
        </w:rPr>
        <w:t>E. 5.2.1</w:t>
      </w:r>
    </w:p>
    <w:p>
      <w:r>
        <w:t>Die Widerspruchsmarke beansprucht in Klasse 9 Schutz für "Mémoires et supports d'enregistrement de sons et d'images électroniques, magnéto-optiques, optiques et magnétiques, notamment CD, CD-ROM, CD-I, DVD, disquettes, bandes vidéo, disques phonographiques et microfilms, tous les produits destinés à une utilisation en ligne ou non; enregistreurs à bande magnétique; équipements de réception, ainsi que d'enregistrement, de transmission et reproduction de sons et d'images; matériel informatique, notamment équipement pour le traitement de l'information, ordinateurs et leurs périphériques; logiciels; programmes de traitement de données; programmes d'exploitation d'ordinateurs". Die von der angefochtenen Marke in Klasse 9 beanspruchten "herunterladbare Informationen" sind damit nicht wortwörtlich von der Widerspruchsmarke beansprucht. Der Beschwerdeführer bestreitet denn auch in seiner Replik die von der Vorinstanz festgestellte Gleichartigkeit zwischen seiner in Klasse 9 beanspruchten Waren und den diversen von der Widerspruchsmarke beanspruchten Datenträgern (Ziff. 4.1 der Replik). Seiner Meinung nach kann aus der Tatsache, dass eine "herunterladbare Information" u.a. auf einem Datenträger gespeichert werden kann, nicht direkt auf Gleichartigkeit geschlossen werden.</w:t>
      </w:r>
    </w:p>
    <w:p>
      <w:r>
        <w:rPr>
          <w:b/>
        </w:rPr>
        <w:t>E. 5.2.2</w:t>
      </w:r>
    </w:p>
    <w:p>
      <w:r>
        <w:t>Dieser Auffassung kann sich das Gericht nicht anschliessen. Gerade die Tatsache, dass die vom Beschwerdeführer beanspruchten Waren auf Datenträger gespeichert werden können, was von diesem ja auch an sich nicht bestritten wird, zeigt, dass ein Zusammenhang zwischen den Waren besteht. Zudem greift auch der Einwand des Beschwerdeführers, herunterladbare Informationen müssten gar nicht gespeichert werden wenn sie mittels Streaming oder dem Abspielen einer DVD verwendet werden, nicht, denn erstens kann auch ein Stream aufgenommen werden und zweitens ist gerade das Abspielen einer DVD der Beweis, dass eine heruntergeladene Information auf einem Speichermedium abgespielt wird. Ausserdem beansprucht die Widerspruchsmarke Schutz für "matériel informatique, notamment équipement pour le traitement de l'information", mit welchem "herunterladbare Informationen" heruntergeladen oder zumindest bearbeitet werden können, weshalb zwischen den Waren der beiden Marken in Klasse 9 einen derart engen Zusammenhang besteht, dass mit der Vorinstanz einig zu gehen ist, wenn diese auf Gleichartigkeit schliesst.</w:t>
      </w:r>
    </w:p>
    <w:p>
      <w:r>
        <w:rPr>
          <w:b/>
        </w:rPr>
        <w:t>E. 5.3</w:t>
      </w:r>
    </w:p>
    <w:p>
      <w:r>
        <w:t>In Bezug auf die beanspruchten Dienstleistungen verneint der Beschwerdeführer die von der Vorinstanz festgestellte Identität bzw. Gleichartigkeit gänzlich. Zur Begründung verweist er auf den tatsächlichen Gebrauch der Marke und schliesst aus der Gegebenheit, dass er zwar Oberbegriffe beansprucht, die Marke jedoch nur für Unterbegriffe gebraucht, welche seiner Meinung nach nicht unter die von der Beschwerdegegnerin beanspruchten Dienstleistungen subsumierbar sind, eine Gleichartigkeit bzw. Identität aus (Ziffern 4.2 ff. der Replik). Hierbei ist allerdings entgegen der Meinung des Beschwerdeführers festzuhalten, dass einzig der Einzelvergleich jedes Waren- und Dienstleistungseintrags mit den Waren und Dienstleistungen der anderen Marke so wie sie im Register eingetragen sind, entscheidend ist (Urteil des Bundesverwaltungsgericht B-7506/2006 vom 21. März 2007, E. 5 [fig. Karomuster]/[fig. Karomuster]).</w:t>
      </w:r>
    </w:p>
    <w:p>
      <w:r>
        <w:rPr>
          <w:b/>
        </w:rPr>
        <w:t>E. 5.3.1</w:t>
      </w:r>
    </w:p>
    <w:p>
      <w:r>
        <w:t>Damit ist bei der Beurteilung der Gleichartigkeit bzw. Identität der jeweils beanspruchten Dienstleistungen im Einklang mit der Beschwerdegegnerin festzuhalten, dass es unverständlich erscheint, wenn identische Dienstleistungen vom Beschwerdeführer nicht als solche erkannt werden. So wird in Klasse 35 von der Widerspruchsmarke die Dienstleistung "publicité" und von der angefochtene Marke "Werbung und Vermietung von Werbeflächen" beansprucht. "Publicité" ist "Werbung" und die Vermietung von Werbefläche eine Werbedienstleistung, womit sie unter den von der Widerspruchsmarke beanspruchten Oberbegriff "Publicité" fällt und deren Gleichartigkeit begründet. Auch die in Klasse 41 beanspruchten Dienstleistungen sind entgegen der Meinung des Beschwerdeführers identisch, denn die von der Widerspruchsmarke beanspruchten "divertissement; activités culturelles" werden auch von der angefochtenen Marke beansprucht, nämlich "Unterhaltung und kulturelle Aktivitäten". Schliesslich sind auch die in Klasse 38 von der Widerspruchsmarke beanspruchten "prestations dans le domaine des télécommunications, envoi d'informations à des tiers sur Internet, diffusion d'informations sur des réseaux câblés ou sans fil, services d'un fournisseur de contenu, à savoir mise à disposition d'informations sur Internet ou de plates-formes, transmission de programmes de radio et de télévision (par câble)" sowie die von der angefochtenen Marke beanspruchte Dienstleistung "Telekommunikation" identisch, denn inwiefern "Dienstleistungen im Bereich der Telekommunikation" nicht mit "Telekommunikationsdienstleistungen" deckungsgleich sein sollen, erschliesst sich dem Gericht nicht. Dass der Beschwerdeführer seine Marke in der Klasse 38 - wie von ihm gerügt - tatsächlich nur in einem spezifischen Bereich benutzt, geht aus seinem Registereintrag nicht hervor.</w:t>
      </w:r>
    </w:p>
    <w:p>
      <w:r>
        <w:rPr>
          <w:b/>
        </w:rPr>
        <w:t>E. 6</w:t>
      </w:r>
    </w:p>
    <w:p>
      <w:r>
        <w:t>Angesichts der Warengleichartigkeit und Dienstleistungsidentität gilt es nun zu prüfen, ob vorliegend eine Zeichenähnlichkeit besteht. Wird eine solche bejaht, so ist zu klären, welche Kennzeichnungskraft der Widerspruchsmarke zukommt und damit wie ähnlich die Marken sein dürfen, die jene neben sich zu dulden hat. 6.1.1. Entscheidend bei der Beurteilung der Ähnlichkeit zweier Zeichen ist der Gesamteindruck, den die Zeichen bei den massgebenden Verkehrskreisen hinterlassen (Marbach, SIWR III/1, N. 864). Beim Zeichenvergleich ist von den Eintragungen im Register auszugehen (Urteil des Bundesverwaltungsgerichts B-5325/2007 vom 12. November 2007 E. 3 Adwista/ad-vista mit Hinweisen; siehe auch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veröffentlicht in sic! 2006 S. 673 f.). Diesem Erinnerungsbild haftet zwangsläufig eine gewisse Verschwommenheit an (Marbach, SIWR III/1, N. 867 f.), weshalb es wesentlich durch das Erscheinungsbild der kennzeichnungskräftigen Markenelemente geprägt wird (BGE 122 III 386 E. 2a Kamillosan). Schwache oder gemeinfreie Markenbestandteile dürfen jedoch bei der Beurteilung der Markenähnlichkeit nicht einfach ausgeblendet werden (Marbach, SIWR III/1, N. 866 mit Hinweis auf BGE 122 III 382 E. 5b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Red Bull/Stierbräu). Eine Differenzierung und damit eine Gewichtung der Zeichenelemente ist zulässig (Marbach, SIWR III/1, N. 866 mit Hinweis auf BGE 96 II 400 Eden Club). 6.1.2.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(Entscheid der RKGE vom 10. Februar 2004 E. 10 SPEEDO/Speed Company [fig.], veröffentlicht in sic! 2004 S. 578 f.). 6.1.3. Die Wortelemente von Marken sind nach folgenden Kriterien miteinander zu vergleichen. Zu beachten sind ihr Klang und ihr Schriftbild, gegebenenfalls auch ihr Sinngehalt. Das Silbenmass, die Aussprachekadenz und die Aufeinanderfolge der Vokale prägen insbesondere den Klang, während das Schriftbild vor allem durch die Wortlänge und durch die Eigenheiten der verwendeten Buchstaben bestimmt wird (Urteil des Bundesverwaltungsgerichts B-7492/2006 vom 12. Juli 2007 E. 4 Aromata/Aromathera mit Hinweisen). Bei reinen Wortmarken genügt grundsätzlich schon eine Übereinstimmung unter einem der drei genannten Gesichtspunkten um die Zeichenähnlichkeit zu bejahen. Ein klar erkennbarer, unterschiedlicher Sinngehalt im Widerspruch stehender Marken kann eine festgestellte visuelle oder akustische Ähnlichkeit jedoch wettmachen. Dazu reicht es aber nicht aus, dass der Sinngehalt der einen Marke demjenigen der anderen nicht entspricht, sondern es ist ein Sinngehalt erforderlich, der sich den Wahrnehmenden sofort und unwillkürlich aufdrängt (Urteil des Bundesverwaltungsgerichts B-7460/2006 vom 6. Juli 2007 E. 6 Adia/Aida Jobs, Aida Personal, Entscheid der RKGE vom 10. März 2006 E. 7 Minergie/Sinnergie mit weiteren Hinweisen, veröffentlicht in sic! 2006 S. 413).</w:t>
      </w:r>
    </w:p>
    <w:p>
      <w:r>
        <w:rPr>
          <w:b/>
        </w:rPr>
        <w:t>E. 6.2</w:t>
      </w:r>
    </w:p>
    <w:p>
      <w:r>
        <w:t>Im vorliegenden Fall stehen sich die Zeichen "SWISSVIEW" (fig.) und "VIEW" gegenüber. Während es sich bei der Widerspruchsmarke "VIEW" um eine reine Wortmarke handelt, weist die angefochten Marke "SWISSVIEW" (fig.) auch ein figuratives Element auf, nämlich einen kleinen Kreis der einen - wie der Beschwerdeführer angibt - stilisierten Rotor eines Helikopters umrandet (vgl. Ziff. 1.2 der Replik). Wie schon vorinstanzlich zutreffend festgestellt, übernimmt die angefochtene Marke die Widerspruchsmarke "VIEW" damit vollständig. Grundsätzlich begründet allein dies eine Zeichenähnlichkeit (Marbach, SIWR III/1, N. 869), denn eine Kombination mit einem Zusatz schafft an sich keine genügende Unterscheidbarkeit (Joller, a.a.O., Art. 3 N. 127). Zulässig ist die Übernahme einer älteren Marke nur ausnahmsweise, und zwar wenn sie derart mit der neuen Marke verschmilzt, dass dieser Bestandteil nur noch als untergeordneter Teil der jüngeren Marke erscheint (Urteil des Bundesverwaltungsgericht B-1009/2010 vom 14. März 2011 E. 5.2 Credit Suisse/UniCredit Suisse Bank [fig.]; Joller, a.a.O., Art. 3 N. 128).</w:t>
      </w:r>
    </w:p>
    <w:p>
      <w:r>
        <w:rPr>
          <w:b/>
        </w:rPr>
        <w:t>E. 6.3</w:t>
      </w:r>
    </w:p>
    <w:p>
      <w:r>
        <w:t>Der Beschwerdeführer bringt denn auch vor, die Vorinstanz habe zu Unrecht bloss die Ähnlichkeit der Wortelemente "view" beurteilt und dabei das zusätzliche Wortelement "swiss" sowie das figurative Element, welche der angefochtenen Marke gesamthaft einen vom Widerspruchszeichen divergierenden Gesamteindruck vermitteln, ausser Acht gelassen (Ziffern 1.3 f. der Replik). Es ist demnach zu prüfen, ob das angefochtene Zeichen die Widerspruchsmarke so übernimmt, dass diese im jüngeren Zeichen nur noch als untergeordneten Teil erscheint. 6.3.1.1 Die Widerspruchsmarke besteht als reine Wortmarke aus dem englischen Begriff "view". Diesem kommt auf Deutsch als Nomen die Bedeutungen "Sicht, (Aus)Blick bzw. Aussicht, Besichtigung" sowie "Ansicht" bzw. "Meinung" zu (Eintrag zu "view", in: Langenscheidt Handwörterbuch Englisch, Berlin 2005, S. 660 f.). Als Verb wird "view" bzw. "to view" mit "etwas ansehen, betrachten, besichtigen" übersetzt (Eintrag zu "view", in: Langenscheidt, a.a.O., S. 660). "VIEW" ist ein Begriff des englischen Grundwortschatzes, weshalb das Zeichen sowohl von den Fachkreisen als auch von den Durchschnittsabnehmern ohne Gedankenaufwand im dargelegten Sinn erkannt wird (Urteile des Bundesverwaltungsgerichts B 3377/2010 vom 27.07.2010 E. 5.2 RADIANT APRICOT, B-1364/2008 vom 24. Juni 2009 E. 5.3 On the Beach). 6.3.1.2 Die angefochtene Marke "SWISSVIEW" setzt sich aus dem Adjektiv "swiss" und demnach aus dem Substantiv "view" zusammen, so dass die Kombination vom Abnehmer problemlos als "schweizerische Sicht, schweizerische Aussicht, Schweizerische Ansicht" bzw. "schweizerische Meinung" verstanden wird (vgl. E. 6.3.1.1 hiervor). Im Gegensatz zur Widerspruchsmarke ist aufgrund der Verwendung eines Adjektivs klargestellt, dass es sich bei "view" um ein Substantiv handelt, was bei Ersterer hingegen offen bleiben kann. Es kann aber vorliegend festgehalten werden, dass sich damit entgegen der Meinung des Beschwerdeführers an der Bedeutung des Zeichenelements "view" nichts marginales ändert: Dank dem Adjektiv "swiss" wird lediglich präzisiert, um welche "view" es sich handelt, was nur ein minimer Unterschied zwischen den zwei Zeichen darstellt (Urteil des Bundesverwaltungsgericht B-3162/2011 vom 8. Februar 2012 E. 5.4 5th Avenue [fig.]/AVENUE [fig.]). Dem Einwand des Beschwerdeführers (Ziff. 3.2 der Replik), die einzelnen Begriffe würden als solche aufgrund deren Zusammenschreibung nicht erkannt, kann nicht gefolgt werden, da der Zusammenzug beider Wörter am Verständnis nichts ändert, solange die einzelnen Wörter für den Abnehmer sofort erkennbar sind (Urteil des Bundesverwaltungsgerichts B-6257/2008 vom 23. Dezember 2009 E. 11.3 f. DEOZINC), was vorliegend klar der Fall ist und zudem durch die Tatsache, dass die einzelnen Wörter je einsilbig sind, begünstigt wird. 6.3.1.3 Was die Wortelemente der beiden Zeichen betrifft, kann somit festgehalten werden, dass sich diese kaum unterscheiden. Die phonetischen und sinngehaltlichen Gemeinsamkeiten vermögen durch den festgestellten Unterschied, wonach die jüngere Marke ein Wort und damit eine Silbe mehr hat, nichts an der Ähnlichkeit der Wortelemente beider Zeichen ändern.</w:t>
      </w:r>
    </w:p>
    <w:p>
      <w:r>
        <w:rPr>
          <w:b/>
        </w:rPr>
        <w:t>E. 6.3.2</w:t>
      </w:r>
    </w:p>
    <w:p>
      <w:r>
        <w:t>Wie dargelegt, setzt sich die angefochtene Marke aus einer Wortkombination und einem grafischen Element zusammen. Das Wortelement ist in Grossbuchstaben sowie in einem Wort geschrieben. Die Grafik ist vergleichsweise klein und - ähnlich einem Asterix - leicht erhöht neben dem letzten Buchstaben der Wortkombination angesetzt. Um deren Unterscheidungskraft zu betonen, verweist der Beschwerdeführer auf das Storyboard sowie eine isolierte Vergrösserung der Grafik (Beilagen 1 und 2 der Replik). Dabei verkennt der Beschwerdeführer jedoch, dass nur der Markeneintrag, d.h. die gesamthafte Abbildung wie sie im Register aufgeführt wird, als Prüfungsgrundlage zu benutzen ist (David, a.a.O., Art. 3 N. 12; Marbach, SIWR III/1, N. 123). Eine mosaikartige Betrachtungsweise der Markenelemente ist unzulässig (David, a.a.O., Art. 3 N. 11). Weiter ist die Tatsache, dass es sich bei der Grafik um die Darstellung eines Helikopterrotors und damit um einen symbolischen Hinweis auf die Tätigkeit des Hinterlegers, nämlich die Erstellung von Luftaufnahmen der Schweiz in einem Helikopter, handelt, für den Abnehmer nicht ohne mehrere Gedankenschritte erkennbar. Setzt man die Grafik hingegen in Zusammenhang mit den Waren und Dienstleistungen, ist darin weder ein symbolischer Gehalt noch ein spezifischer Sinngehalt erkennbar. Es ist daher anzunehmen, dass sie als rein dekoratives und damit nebensächliches Element der angefochtenen Marke wahrgenommen wird.</w:t>
      </w:r>
    </w:p>
    <w:p>
      <w:r>
        <w:rPr>
          <w:b/>
        </w:rPr>
        <w:t>E. 6.3.3</w:t>
      </w:r>
    </w:p>
    <w:p>
      <w:r>
        <w:t>Zwischen den in Widerspruch stehenden Zeichen besteht folglich auf optischer, phonetischer und lexikalischer Ebene eine Übereinstimmung. Die zusätzlichen Elemente der jüngeren Marke prägen diese nicht derart, dass die ältere Marke "view" darin eine untergeordnete Rolle spielt. Im Gegenteil, dass Zeichenelement "swiss" der jüngeren Marke setzt als Adjektiv den Fokus auf das Nomen "view" und damit auf die Widerspruchsmarke. Besteht wie im vorliegenden Fall bereits eine Zeichen­ähnlichkeit aufgrund des Wortklanges, so führt die zusätzliche Über­einstimmung im Sinngehalt zu einer Verstärkung der Zeichenähn­lich­keit (Joller, a.a.O., Art. 3, N. 159 f. mit Hin­weisen). Damit hat die Vorinstanz eine Zeichenähnlichkeit zwischen der Wortmarke "VIEW" und der Wort-/Bildmarke "SWISSVIEW (fig.)" zu Recht bejaht.</w:t>
      </w:r>
    </w:p>
    <w:p>
      <w:r>
        <w:rPr>
          <w:b/>
        </w:rPr>
        <w:t>E. 7</w:t>
      </w:r>
    </w:p>
    <w:p>
      <w:r>
        <w:t>Abschliessend ist in einer Gesamtbetrachtung und unter Berücksichtigung der Kennzeichnungskraft beider Marken und des Aufmerksamkeitsgrades, den die massgeblichen Verkehrskreise bei der Nachfrage der beanspruchten Waren und Dienstleistungen walten lassen, über die Verwechslungsgefahr zu urteilen.</w:t>
      </w:r>
    </w:p>
    <w:p>
      <w:r>
        <w:rPr>
          <w:b/>
        </w:rPr>
        <w:t>E. 7.1</w:t>
      </w:r>
    </w:p>
    <w:p>
      <w:r>
        <w:t>Der Beschwerdeführer rügt, die Vorinstanz habe fälschlicherweise angenommen, die ältere Marke verfüge über einen normalen Schutzumfang. Ohne eine weitere Begründung, stellt er fest, dass beide Marken schwach seien (Ziffer 3.2 der Replik). Somit würden bereits geringe Unterschiede genügen, um eine Verwechslungsgefahr zu vermeiden, weshalb sich die jüngere Marke dank ihrer kennzeichnungskräftigen und bekannten Grafik genügend von der Widerspruchsmarke abhebe um eine Verwechslungsgefahr zu vermeiden.</w:t>
      </w:r>
    </w:p>
    <w:p>
      <w:r>
        <w:rPr>
          <w:b/>
        </w:rPr>
        <w:t>E. 7.1.1</w:t>
      </w:r>
    </w:p>
    <w:p>
      <w:r>
        <w:t>Bei der Beurteilung der Kennzeichnungskraft eines Zeichens ist zunächst festzuhalten, dass sich diese nach der Unterscheidungskraft der Marke bzw. ihrer Bestandteile bestimmt (Joller, a.a.O., Art. 3 N. 81). Diese wiederum ist dadurch zu bestimmen, dass das Zeichen in Relation mit den beanspruchten Waren und Dienstleistungen gesetzt wird (Joller, a.a.O., Art. 3 N. 82). Daraus ergibt sich wie die Vorinstanz zutreffend entgegen der Meinung des Beschwerdeführers festgehalten hat, dass aus der Tatsache allein, dass einem Zeichen eine Bedeutung zukommt, nicht automatisch auf dessen Schwäche geschlossen werden kann (Ziffer D.3 der angefochtenen Verfügung). Geschwächt wird ein Zeichen erst, wenn dieser Sinngehalt im Zusammenhang mit den Waren und Dienstleistungen beschreibend ist.</w:t>
      </w:r>
    </w:p>
    <w:p>
      <w:r>
        <w:rPr>
          <w:b/>
        </w:rPr>
        <w:t>E. 7.1.2</w:t>
      </w:r>
    </w:p>
    <w:p>
      <w:r>
        <w:t>Die Vorinstanz hat in der Widerspruchsmarke im Zusammenhang mit den beanspruchten Waren und Dienstleistungen keine beschreibende Bedeutung erkannt (Ziffer D.3 der angefochtenen Verfügung). Dieser Einschätzung schliesst sich auch das Bundesverwaltungsgericht an: Ein Sinngehalt wie "Sicht, (Aus)Blick bzw. Aussicht, Besichtigung" sowie "Ansicht" bzw. "Meinung" oder auch "etwas ansehen, betrachten, besichtigen" ist im Zusammenhang mit den beanspruchten Waren der Klasse 9 zu unbestimmt. Auch im Zusammenhang mit den in Klasse 35 beanspruchten Werbedienstleistungen oder den in Klasse 41 beanspruchten Unterhaltungs- und kulturellen Aktivitätsdienste ist kein direkt beschreibender Sinngehalt erkennbar, da weder eine Tätigkeit noch eine Zweckbestimmung noch ein Inhalt direkt beschrieben wird. Schliesslich betreffen die in Klasse 38 beanspruchten Dienstleistungen den tech­ni­schen Aspekt der Über­tragung und weisen somit weder Thema noch Inhalt auf (Urteil des Bundesverwaltungsgericht B-2380/2010 vom 7. Dezember 2011 E. 8.2.2 lawfinder/LexFind.ch [fig.] mit Verweis auf die Richt­linien in Markensachen des Institut für Geistiges Eigentum vom 1. Januar 2011, Teil 1, Ziff. 4.7). Demnach ist eine Bezeichnung wie "view" im Zusammenhang mit Dienstleistungen, welche allein die technische Übermitt­lung nicht aber den Inhalt der übermittelten Informationen zum Gegen­stand haben, nicht beschreibend, weshalb auch hier nicht von einer schwachen Marke gesprochen werden kann. Die Widerspruchsmarke ist daher als originär unterscheidungskräftig zu bezeichnen, weshalb ihr im Einklang mit der Vorinstanz und der Beschwerdegegnerin eine normale Kennzeichnungskraft und ein entsprechender Schutzumfang zuzusprechen ist.</w:t>
      </w:r>
    </w:p>
    <w:p>
      <w:r>
        <w:rPr>
          <w:b/>
        </w:rPr>
        <w:t>E. 7.1.3</w:t>
      </w:r>
    </w:p>
    <w:p>
      <w:r>
        <w:t>Zur Kennzeichnungskraft der angefochtenen Marke ist bei der Beurteilung des Zeichenelement "VIEW" das soeben Gesagte analog heran zu ziehen. Weiter wird von keiner Partei bestritten, dass das Element "swiss" nichts wesentliches zur Kennzeichnungskraft der Marke beiträgt, da es sich lediglich um eine geografische Beschreibung handelt. Auch unbestritten ist die Kennzeichnungskraft der Grafik. Der in diesem Zusammenhang vom Beschwerdeführer sinngemäss vorgebrachte Einwand, das Zeichen "swissview" sowie die Grafik würden vom Beschwerdeführer seit mindestens 10 Jahren gebraucht und seien dem schweizerischen Publikum deshalb bekannt (Ziffer 1.3 f. der Replik), kann nicht gehört werden, da er diese Behauptung nicht substantiiert. Wer die durch Benützung gesteigerte Kennzeichnungskraft seiner Marke behauptet, hat hierzu entsprechende Belege einzureichen (Joller, a.a.O., Art. 3 N. 100 mit weiteren Hinweisen). Es ist demnach auch in Bezug auf die angefochtene Marke von einem Zeichen mit gesamthaft normaler Kennzeichnungskraft auszugehen.</w:t>
      </w:r>
    </w:p>
    <w:p>
      <w:r>
        <w:rPr>
          <w:b/>
        </w:rPr>
        <w:t>E. 7.2</w:t>
      </w:r>
    </w:p>
    <w:p>
      <w:r>
        <w:t>Angesichts der Tatsache, dass die Widerspruchsmarke gänzlich in die angefochtene Marke übernommen wurde, sind die vom Beschwerdeführer geltend gemachten optischen und klanglichen Abweichungen als ungenügend zu qualifizieren. Auch besteht kein derart abweichender Sinngehalt zwischen den zwei Zeichen, welcher die festgestellten Ähnlichkeiten wettmachen könnte. Zwar ist davon auszugehen, dass die massgeblichen Abnehmer bei der Betrachtung der Marken im Zusammenhang mit den beanspruchten Waren und Dienstleistungen teils eine erhöhte Aufmerksamkeit walten lassen (vgl. E. 4 hiervor). In Anbetracht des Eingangs Gesagten sowie der Tatsache, dass die Vergleichszeichen vorliegend für gleichartige Waren und identische Dienstleistungen hinterlegt sind, und somit nicht schon geringste Abweichungen in den Zeichen ausreichen, um eine Verwechslungsgefahr zu bannen (Urteil des Bundesverwaltungsgerichts B-6046/2008 vom 3. November 2010 E. 7.1 R Rothmans [fig.]/ Roseman Crown Agencies KING SIZE [fig.]), genügt das Kriterium der erhöhten Aufmerksamkeit alleine nicht um eine Verwechslungsgefahr zu bannen (Urteil des Bundesverwaltungsgericht B 1009/2010 vom 14. März 2011 E. 6.1 CREDIT SUISSE/UniCredit Suisse Bank [fig.]).</w:t>
      </w:r>
    </w:p>
    <w:p>
      <w:r>
        <w:rPr>
          <w:b/>
        </w:rPr>
        <w:t>E. 7.3</w:t>
      </w:r>
    </w:p>
    <w:p>
      <w:r>
        <w:t>Schliesslich macht der Beschwerdeführer geltend, die Gefahr einer Verwechslung könne gerade aufgrund dessen ausgeschlossen werden, dass die Beschwerdegegnerin seine bereits im Jahr 2006 hinterlegte Marke CH-Nr. 552'282 "swissview (fig)" bisher stillschweigend geduldet habe, obwohl diese phonetisch mit der nun angefochtenen Marke übereinstimmt. Auch seien weitere Marken im schweizerischen Register eingetragen, welche den Begriff "view" enthielten, was darauf deute, dass die Widerspruchsmarke auch deren Existenz geduldet habe. Diesem Einwand kann nicht gefolgt werden, denn es steht im Belieben eines Markeninhabers, ob er sein Ausschliesslichkeitsrecht geltend machen will oder nicht (Art. 3 Abs. 3 MSchG). Somit liegt es einzig in seinem Ermessen zu entscheiden, ob und wann er sich an einem konkurrierenden Zeichen stört oder nicht (vgl. Joller, a.a.O., N. 9; Marbach, SIWR III/1, N. 688). Auch ist irrelevant, ob es bisher zu konkreten Verwechslungen zwischen der Widerspruchsmarke und dieser Marke gekommen ist oder nicht (vgl. BGE 126 III 315 E. 4b Apiella; Joller, a.a.O., Art. 3 N. 38 ff.). Die diesbezüglichen Umstände haben demnach keinen Einfluss auf das Bestehen oder Nichtbestehen einer Verwechslungsgefahr.</w:t>
      </w:r>
    </w:p>
    <w:p>
      <w:r>
        <w:rPr>
          <w:b/>
        </w:rPr>
        <w:t>E. 7.4</w:t>
      </w:r>
    </w:p>
    <w:p>
      <w:r>
        <w:t>Aus den oben dargelegten Gründen ist die Beschwerde abzuweisen und die angefochtene Verfügung zu bestätigen.</w:t>
      </w:r>
    </w:p>
    <w:p>
      <w:r>
        <w:rPr>
          <w:b/>
        </w:rPr>
        <w:t>E. 8.1</w:t>
      </w:r>
    </w:p>
    <w:p>
      <w:r>
        <w:t>Bei diesem Ausgang des Verfahrens wird der Beschwerdeführer kosten- und entschädigungspflichtig (Art. 63 Abs. 1 und Art. 64 Abs. 1 VwVG).</w:t>
      </w:r>
    </w:p>
    <w:p>
      <w:r>
        <w:rPr>
          <w:b/>
        </w:rPr>
        <w:t>E. 8.2</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 Der vom Beschwerdeführer in dieser Höhe geleistete Kostenvorschuss verbleibt damit bei der Gerichtskasse.</w:t>
      </w:r>
    </w:p>
    <w:p>
      <w:r>
        <w:rPr>
          <w:b/>
        </w:rPr>
        <w:t>E. 8.3</w:t>
      </w:r>
    </w:p>
    <w:p>
      <w:r>
        <w:t>Im vorinstanzlichen Verfahren ist der Beschwerdeführer unterlegen. Aufgrund des Verfahrensausgangs vor Bundesverwaltungsgericht hat er auch mit Bezug auf die vorinstanzlichen Kosten als unterliegend zu gelten und die Ziffer 3 des angefochtenen Entscheids ist zu bestätigen. Damit verbleibt die von der Beschwerdegegnerin geleistete Widerspruchsgebühr von Fr. 800.- dem Institut, ist ihr aber vom Beschwerdeführer zu ersetzen (vgl. dazu E. 8.5 hiernach).</w:t>
      </w:r>
    </w:p>
    <w:p>
      <w:r>
        <w:rPr>
          <w:b/>
        </w:rPr>
        <w:t>E. 8.4</w:t>
      </w:r>
    </w:p>
    <w:p>
      <w:r>
        <w:t>Der obsiegenden Partei kann von Amtes wegen oder auf Antrag eine Entschädigung für die ihr erwachsenen notwendigen Kosten zulasten des Beschwerdeführers zugesprochen werden (Art. 64 Abs. 1 VwVG in Verbindung mit Art. 7 Abs. 1 VKGE.). Die Parteientschädigung umfasst die Kosten der Vertretung sowie allfällige weitere notwendige Auslagen der Partei (Art. 8 VGKE). Die Parteientschädigung zugunsten der Beschwerdegegnerin ist auf Grund der eingereichten Kostennote vom 4. April 2012 festzusetzen (Art. 14 Abs. 2 Satz 2 i.V.m. Art. 7 Abs. 1 VGKE). Das geltend gemachte Honorar von insgesamt Fr. 9'450.00 (exkl. MWST.) erscheint für das Beschwerdeverfahren trotz des doppelten Schriftenwechsels als zu hoch. Dieses ist daher in Bezug auf die Stundenanzahl und den verwendeten Stundenansatz angemessen herabzusetzen und zwar auf 20.5 Stunden sowie den üblichen Ansatz von Fr. 300.00 (Art. 10 Abs. 2 VGKE; vgl. auch Urteil des Bundesverwaltungsgerichts B-4260/2010 vom 21. Dezember 2011 E. 12.2 Bally/BALU [fig.]). Ingesamt erscheint damit eine Parteientschädigung von Fr. 6'150.00 zzgl. der geltend gemachten Kleinspesenpauschale von Fr. 283.50 (Art. 13 lit. a VGKE), d.h. gesamthaft Fr. 6'433.50, für das Beschwerdeverfahren als angemessen. Eine Mehrwertsteuer ist vorliegend nicht geschuldet, da die Dienstleistungen der Rechtsvertreter der Beschwerdegegnerin nicht im Inland erbracht wurden, weil Letztere ihren Sitz im Ausland hat (Art. 8 Abs. 1 des Bundesgesetzes über die Mehrwertsteuer vom 12. Juni 2009 [Mehrwertsteuergesetz; MWSTG, SR 641.20] in Verbindung mit Art. 18 Abs. 1 MWSTG und Art. 9 Abs. 1 Bst. c VGKE).</w:t>
      </w:r>
    </w:p>
    <w:p>
      <w:r>
        <w:rPr>
          <w:b/>
        </w:rPr>
        <w:t>E. 8.5</w:t>
      </w:r>
    </w:p>
    <w:p>
      <w:r>
        <w:t>Gemäss Art. 34 MSchG bestimmt die Vorinstanz in welchem Masse die Kosten der obsiegenden Partei im vorinstanzlichen Verfahren von der unterliegenden zu ersetzen sind. Die Vorinstanz hatte der Beschwerdegegnerin als der im vorinstanzlichen Verfahren obsiegenden Partei eine Entschädigung in Höhe von Fr. 2'000.00 zuzüglich der Rückzahlung der Widerspruchsgebühr von Fr. 800.00, d.h. insgesamt Fr. 2'800.00, zulasten des Beschwerdeführers zugesprochen (Ziffer 4 der angefochtenen Verfügung). Angesichts des Verfahrensausgangs ist diese Regelung zu bestätigen.</w:t>
      </w:r>
    </w:p>
    <w:p>
      <w:r>
        <w:rPr>
          <w:b/>
        </w:rPr>
        <w:t>E. 9</w:t>
      </w:r>
    </w:p>
    <w:p>
      <w:r>
        <w:t>Gegen dieses Urteil steht keine Beschwerde an das Bundesgericht zur Verfügung (Art. 73 des Bundesgerichtsgesetzes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