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B-8011/2007 vom 24. Oktober 2008</w:t>
      </w:r>
    </w:p>
    <w:p>
      <w:r>
        <w:t>Bundesverwaltungsgericht, 2008-10-24, FR</w:t>
      </w:r>
    </w:p>
    <w:p>
      <w:r>
        <w:rPr>
          <w:b/>
        </w:rPr>
        <w:t xml:space="preserve">Quelle: </w:t>
      </w:r>
      <w:r>
        <w:t>https://mcp.opencaselaw.ch/entscheid/bvger_B-8011_2007</w:t>
      </w:r>
    </w:p>
    <w:p>
      <w:r>
        <w:t>FR: TAF B-8011/2007 du 24 octobre 2008</w:t>
      </w:r>
    </w:p>
    <w:p>
      <w:r>
        <w:t>IT: TAF B-8011/2007 del 24 ottobre 2008</w:t>
      </w:r>
    </w:p>
    <w:p>
      <w:pPr>
        <w:pStyle w:val="Heading2"/>
      </w:pPr>
      <w:r>
        <w:t>Regeste</w:t>
      </w:r>
    </w:p>
    <w:p>
      <w:r>
        <w:t>Opposition</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aux art. 33 et 34 LTAF. En l'espèce, la décision attaquée revêt la qualité de décision sur opposition au sens de l'art. 5 al. 2 PA qui émane d'une autorité au sens de l'art. 33 let. e LTAF. Aucune des clauses d'exception de l'art. 32 LTAF n'étant par ailleurs réalisée, le Tribunal administratif fédéral est donc compétent pour statuer sur le présent recours.</w:t>
      </w:r>
    </w:p>
    <w:p>
      <w:r>
        <w:rPr>
          <w:b/>
        </w:rPr>
        <w:t>E. 1.2</w:t>
      </w:r>
    </w:p>
    <w:p>
      <w:r>
        <w:t>La recourante, qui a pris part à la procédure devant l'autorité inférieure, est spécialement atteinte par cette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50 et 52 al. 1 PA), ainsi que les autres conditions de recevabilité (art. 44 ss et 63 al. 4 PA) sont respectées. Le recours est ainsi recevable, sous réserve de ce qui suit.</w:t>
      </w:r>
    </w:p>
    <w:p>
      <w:r>
        <w:rPr>
          <w:b/>
        </w:rPr>
        <w:t>E. 1.4</w:t>
      </w:r>
    </w:p>
    <w:p>
      <w:r>
        <w:t>En procédure administrative contentieuse, l'objet du litige correspond à l'objet de la décision attaquée dans la mesure où il est contesté devant l'instance de recours (Jurisprudence des autorités administratives de la Confédération [JAAC] 63.78 consid. 2b ; BENOÎT BOVAY, Procédure administrative, Berne 2000, p. 390). La décision attaquée délimite à l'égard du recourant le cadre matériel admissible de l'objet du litige (ATF 117 Ib 414 consid. 1d ; PIERRE MOOR, Droit administratif, vol. II, 2e éd. mise à jour et augmentée, Berne 2002, no 5.7.1.4 ; BOVAY, op. cit., p. 390). En l'espèce, dans la mesure où la recourante conclut au paiement d'un montant de Fr. 45'000.- à titre de réparation du préjudice subi, sa conclusion est dès lors irrecevable car elle sort du cadre de l'objet litige qui, délimité par la décision attaquée, consiste uniquement à examiner le bien-fondé de l'enregistrement de la marque de l'intimée.</w:t>
      </w:r>
    </w:p>
    <w:p>
      <w:r>
        <w:rPr>
          <w:b/>
        </w:rPr>
        <w:t>E. 2</w:t>
      </w:r>
    </w:p>
    <w:p>
      <w:r>
        <w:t>A teneur de l'art. 3 al. 1 let. c LPM, sont exclus de la protection comme marque les signes similaires à une marque antérieure et destinés à des produits identiques ou similaires lorsqu'il en résulte un risque de confusion. En l'espèce, il n'est pas contesté que l'enregistrement international no 529'275 «EMOTION», inscrit au registre international le 26 septembre 1988 et bénéficiant d'une priorité au 2 février 1988 selon la Convention de Paris pour la protection de la propriété industrielle révisée à Stockholm le 14 juillet 1967 (CUP, RS 0.232.04), est antérieur à la marque suisse no 556'743 «e motion» (fig.) déposée le 19 décembre 2006.</w:t>
      </w:r>
    </w:p>
    <w:p>
      <w:r>
        <w:rPr>
          <w:b/>
        </w:rPr>
        <w:t>E. 3</w:t>
      </w:r>
    </w:p>
    <w:p>
      <w:r>
        <w:t>Pour l'appréciation du risque de confusion, il convient de prendre en considération la similarité aussi bien des signes que des produits pour lesquels ils sont enregistrés. Indépendamment du fait que ces deux éléments s'influencent réciproquement, en ce sens que les produits doivent d'autant plus se différencier que les signes sont similaires et vice versa, la pratique constante admet que, lorsqu'une similarité entre les signes ou les produits peut être exclue, il n'est plus nécessaire d'examiner la similarité entre les produits, respectivement les signes. Dans ces cas, un risque de confusion est a priori exclu. Le risque de confusion entre deux marques ne peut être examiné de manière abstraite. Il s'agit au contraire de toujours prendre en compte les circonstances concrètes du cas d'espèce. Ainsi, si la différence entre les signes doit être d'autant plus grande que les produits pour lesquels ils sont utilisés sont identiques, il convient également de tenir compte de l'attention dont les consommateurs font ordinairement preuve (arrêt du Tribunal administratif fédéral B-7485/2006 du 4 février 2008 consid. 5 et 5.1 Booster/Turbo booster).</w:t>
      </w:r>
    </w:p>
    <w:p>
      <w:r>
        <w:rPr>
          <w:b/>
        </w:rPr>
        <w:t>E. 4</w:t>
      </w:r>
    </w:p>
    <w:p>
      <w:r>
        <w:t>En l'espèce, la marque recourante revendique en classe 12 des véhicules automobiles et des voitures automobiles terrestres. La marque attaquée revendique dans la même classe les produits «Fahrzeuge, Apparate zur Beförderung auf dem Lande». Bien que les produits désignés s'adressent au grand public, il y a toutefois lieu d'admettre que, lors de l'acquisition de tels produits, le niveau d'attention du public ciblé doit être considéré comme plus élevé que lors d'un achat courant et habituel dans la mesure où des véhicules sont des biens de consommation durables et relativement coûteux et que le consommateur n'en fera l'acquisition qu'au terme d'un examen attentif, ce qui tend à réduire le risque de confusion.</w:t>
      </w:r>
    </w:p>
    <w:p>
      <w:r>
        <w:rPr>
          <w:b/>
        </w:rPr>
        <w:t>E. 5</w:t>
      </w:r>
    </w:p>
    <w:p>
      <w:r>
        <w:t>Il y a similarité des produits lorsque les cercles des consommateurs concernés peuvent être amenés à penser que les produits vendus sous des marques identiques ou similaires proviennent, au regard de leurs lieux de production et de distribution usuels, de la même entreprise ou seraient, du moins, produits sous le contrôle du titulaire par des entreprises liées entre elles (LUCAS DAVID, Kommentar zum schweizerischen Privatrecht, Markenschutzgesetz, Muster-und Modellgesetz, 2e éd., Bâle 1999, MschG, n° 8 et 35 ad art. 3). L'appartenance des produits revendiqués à la même classe internationale selon l'accord de Nice n'est pas nécessaire pour affirmer une similarité mais constitue toutefois un indice pour une telle conclusion. Les mêmes lieux de production, le même savoir-faire spécifique (know-how), des canaux de distribution semblables, un cercle de consommateurs ou un champ d'application semblables sont des indices pour des produits similaires (arrêt du Tribunal administratif fédéral B-7468/2006 du 6 septembre 2007 consid. 4 Seven/Seven for all mankind). En l'espèce, il convient en premier lieu de relever que, lorsqu'elle indique dans sa réponse à l'opposition que la recourante a été informée du fait que l'intimée ne visait que la distribution de deux-roues électriques sous la marque attaquée, l'intimée semble méconnaître le principe selon lequel l'appréciation du risque de confusion se fait sur la base des marques telles qu'elles sont inscrites au registre et non sur leur utilisation (actuelle) dans le commerce (arrêt du Tribunal administratif fédéral B-7438/2006 du 10 mai 2007 in sic! 2007 749 consid. 5 Cellini/Elini). Un véhicule peut notamment être défini comme un engin à roue(s) ou à moyen de propulsion servant à transporter des personnes ou des marchandises (Le Nouveau Petit Robert de la langue française 2007 [ci-après : le Nouveau Petit Robert], p. 2682). Est réputé véhicule automobile au sens de l'art. 7 al. 1 de la loi fédérale du 19 décembre 1958 sur la circulation routière (LCR, RS 741.01) tout véhicule pourvu d'un propre dispositif de propulsion lui permettant de circuler sur terre sans devoir suivre une voie ferrée. Force est ainsi d'admettre que la notion de «véhicule» est plus large que celle de «véhicule automobile», ce qui plaide en faveur de la similarité des produits et non pas de leur identité comme l'a considéré l'IPI.</w:t>
      </w:r>
    </w:p>
    <w:p>
      <w:r>
        <w:rPr>
          <w:b/>
        </w:rPr>
        <w:t>E. 6</w:t>
      </w:r>
    </w:p>
    <w:p>
      <w:r>
        <w:t>La similarité des produits devant être admise, il convient d'examiner la similarité entre les signes, étant établi de jurisprudence constante que c'est l'impression générale qui est déterminante car c'est elle qui reste dans l'esprit des personnes concernées (ATF 128 III 441 consid. 3.1 Appenzeller).</w:t>
      </w:r>
    </w:p>
    <w:p>
      <w:r>
        <w:rPr>
          <w:b/>
        </w:rPr>
        <w:t>E. 6.1</w:t>
      </w:r>
    </w:p>
    <w:p>
      <w:r>
        <w:t>La comparaison des signes litigieux suppose en premier lieu de s'interroger sur l'étendue de protection de la marque opposante, celle-ci étant indispensable pour estimer le risque de confusion (arrêt du Tribunal administratif fédéral B-1427/2007 du 28 février 2008 consid. 6.1 Kremlyovskaya). Le périmètre de protection d'une marque dépend de sa force distinctive. Il est plus restreint pour les marques faibles que pour les marques fortes et des différences plus modestes suffiront à créer une distinction suffisante. Sont en particulier faibles les marques dont les éléments essentiels dérivent des notions descriptives utilisées dans le langage courant. Sont au contraire fortes les marques imaginatives ou ayant acquis une notoriété dans le commerce. Les marques fortes, résultant d'un acte créatif ou d'un patient travail pour s'imposer sur le marché, doivent bénéficier d'une protection élargie et accrue contre les signes similaires car elles sont spécialement exposées à des essais de rapprochement (ATF 122 III 382 consid. 2a Kamillosan). Le terme «EMOTION» dont est constituée la marque opposante peut notamment être défini comme une «sensation (agréable ou désagréable), considérée du point de vue affectif» et s'oppose aux notions de calme, de froideur, d'indifférence et d'insensibilité (le Nouveau Petit Robert, op. cit., p. 850). En relation avec les produits revendiqués par la marque opposante, ce terme fait allusion à ce que pourrait ressentir le conducteur au volant du véhicule en question. Dans ce contexte, la marque opposante revêt un certain caractère descriptif dont il y a lieu de tenir compte dans le périmètre de protection. En outre, s'agissant de l'argument formulé par la recourante selon lequel la marque opposante serait forte, il convient d'admettre que ceci ne saurait suffire à conférer un champ de protection élargi à cette marque, dans la mesure où la recourante ne soutient ni n'étaye par d'autres pièces que sa marque serait utilisée intensivement (arrêt du Tribunal administratif fédéral précité B-7468/2006 consid. 5.2 Seven/Seven for all mankind).</w:t>
      </w:r>
    </w:p>
    <w:p>
      <w:r>
        <w:rPr>
          <w:b/>
        </w:rPr>
        <w:t>E. 6.2</w:t>
      </w:r>
    </w:p>
    <w:p>
      <w:r>
        <w:t>Selon le Tribunal fédéral, la fonction principale et le but de la marque sont de distinguer une marchandise particulière de marchandises identiques ou similaires, de manière à ce qu'une individualisation de cette marchandise et même de son fabricant soit rendue possible (ATF 119 II 473 consid. 2c Radion/Radomat). Il y a risque de confusion lorsqu'un signe plus récent porte atteinte à la fonction distinctive d'une marque antérieure. Telle atteinte existe lorsqu'il faut craindre que les milieux intéressés seront induits en erreur par la ressemblance des signes et que les marchandises portant l'un ou l'autre signe seront associées au faux détenteur de la marque (risque de confusion direct). Une atteinte existe aussi lorsque le public distingue les deux signes mais présume, en raison de leur ressemblance, de l'existence de rapports qui n'existent pas, notamment en pensant à des marques de série qui désignent différentes lignes de produits provenant de la même entreprise ou d'entreprises économiquement liées entre elles (risque de confusion indirect) (ATF 128 III 441 consid. 3.1 Appenzeller, 122 III 382 consid. 1 Kamillosan ; IVAN CHERPILLOD, Le droit suisse des marques, Lausanne 2007, p. 108 s.). La plupart du temps, le public ne verra ni n'entendra les deux signes simultanément. En réalité, celui des deux que le public voit ou entend s'oppose dans la mémoire à l'image plus ou moins effacée de l'autre, qui avait été vu dans le temps. Lors de la comparaison des marques, il convient d'examiner les caractéristiques susceptibles de subsister dans une mémoire moyennement fidèle ou moyennement défaillante (ATF 121 III 377 consid. 2a Boss/Boks). Pour déterminer si deux marques se ressemblent au sens de l'art. 3 al. 1 let. c LPM, il y a lieu de prendre en compte l'effet auditif, la représentation graphique ou encore le contenu sémantique desdites marques. La similitude des marques doit en principe déjà être admise lorsqu'un risque de confusion se manifeste sur la base de l'un de ces trois critères (Kamen Troller, Précis du droit suisse des biens immatériels, 2e éd., Bâle 2006, p. 84 ; David, op. cit., n° 17 ad art. 3 ; Cherpillod, op. cit., p. 114 ; Christoph Willi, Kommentar zum schweizerischen Markenrecht unter Berücksichtigung des europäischen und internationalen Markenrechts, MschG, Zurich 2002, p. 134). En raison de l'interaction existant entre lesdits critères, il se peut cependant que la similarité des signes résultant de la concordance sur un seul des trois critères soit écartée en présence d'une différence évidente au niveau des autres critères, par exemple lorsque la similarité auditive est compensée par une signification différente (Willi, op. cit., p. 134, Cherpillod op. cit., p. 115 ; ATF 121 III 377 consid. 3c Boss/Boks ; arrêt du Tribunal administratif fédéral B-8320/2007 du 13 juin 2008 consid. 6 iBond/Hy-Bond Resiglass).</w:t>
      </w:r>
    </w:p>
    <w:p>
      <w:r>
        <w:rPr>
          <w:b/>
        </w:rPr>
        <w:t>E. 6.3</w:t>
      </w:r>
    </w:p>
    <w:p>
      <w:r>
        <w:t>La marque opposante «EMOTION» est une pure marque verbale tandis que la marque attaquée «e motion» (fig.) constitue une marque combinée d'un élément verbal et figuratif. L'impression générale des marques verbales est donnée par la suite des syllabes, la longueur du mot, sa sonorité et sa typographie. Pour les marques combinées, l'impression d'ensemble est largement marquée par les éléments verbaux lorsque les éléments graphiques ne sont pas particulièrement originaux et que ceux-ci ne sont pas en mesure de conférer à la marque une image facile à retenir (arrêt du Tribunal administratif fédéral B-7439/2006 du 6 juillet 2007 in sic! 2008 36 consid. 7.1 Kinder/Kinder Party). La sonorité découle en particulier du nombre de syllabes et de la cadence et de la succession des voyelles. L'image de la marque dépend quant à elle de la longueur du mot et des particularités des lettres employées. Le début du mot et sa racine, de même que sa terminaison, surtout lorsqu'elle reçoit une accentuation, suscitent plus l'attention que les syllabes intermédiaires non accentuées (ATF 127 III 160 consid. 2b/cc Securitas, 122 III 382 consid. 5a Kamillosan).</w:t>
      </w:r>
    </w:p>
    <w:p>
      <w:r>
        <w:rPr>
          <w:b/>
        </w:rPr>
        <w:t>E. 6.4</w:t>
      </w:r>
    </w:p>
    <w:p>
      <w:r>
        <w:t>L'IPI considère que les signes se distinguent visuellement par leur impression d'ensemble en relevant que la marque opposante est une simple marque verbale tandis que la marque attaquée résulte de la combinaison entre la lettre «e» présentée avec un graphisme et le terme «motion» écrit de manière stylisée. La recourante fait valoir que l'effet visuel de la marque attaquée diffère quelque peu d'une écriture standard en laissant toutefois le caractère verbal bien apparent, de sorte que cette différence n'est pas de nature à imprégner l'impression d'ensemble. En l'espèce, s'agissant de l'impression visuelle, l'élément verbal «emotion» apparaît dans les deux signes en présence. Sur ce point, il sied ici de rappeler que la reprise intégrale d'une marque prioritaire provoque en règle générale sans autre un risque de confusion (arrêt du Tribunal administratif fédéral précité B-7468/2006 consid. 6.1 Seven/Seven for all mankind). Tandis que la marque opposante comprend des caractères d'imprimerie majuscules, la marque attaquée est quant à elle représentée graphiquement au moyen de la lettre «e», encerclée et représentée en clair sur un fond noir, et de la suite de lettres «motion», le tout dans des caractères d'imprimerie minuscules gras et légèrement stylisés. Il y a lieu de considérer que le graphisme de la marque attaquée, qui n'est pas particulièrement original et ne contient du reste aucune couleur, n'est que peu imprégnant du point de vue visuel. Ces nuances graphiques ne sont ainsi pas de nature à occulter la composante prédominante et caractéristique de la marque attaquée, soit l'élément verbal «emotion» (décision de l'ancienne Commission fédérale de recours en matière de propriété intellectuelle [CREPI] du 10 février 2005 in sic! 2005 574 consid. 3 BrainStore/Brainstore). Partant, et contrairement à ce qu'a conclu l'IPI, une similitude visuelle doit être admise entre les signes en conflit.</w:t>
      </w:r>
    </w:p>
    <w:p>
      <w:r>
        <w:rPr>
          <w:b/>
        </w:rPr>
        <w:t>E. 6.5</w:t>
      </w:r>
    </w:p>
    <w:p>
      <w:r>
        <w:t>L'IPI considère que les signes présentent une certaine similitude phonétique dans la suite des voyelles et des syllabes. La recourante soutient que l'effet auditif des signes est identique quelle que soit la langue officielle adoptée et même selon la langue anglaise, en ajoutant que, selon la décision attaquée, cette identité est déformée pour ne devenir d'abord qu'une «certaine similitude» puis plus qu'une «légère similitude», alors que la suite des voyelles et des consonnes, la cadence et le rythme sont identiques. Dans le cas d'espèce, il convient de relever que le marché automobile est international et qu'il n'y a de ce fait aucune prononciation spécifique attendue de la part du consommateur s'agissant des deux marques en cause. Ce dernier, ne sachant pas dans quelle langue prononcer les deux signes, pourra le faire en français, en anglais ou encore en allemand. Quoi qu'il en soit, le consommateur prononcera les deux signes en cause de la même manière quelle que soit la langue choisie dans la mesure où, comme établi ci-dessus (consid. 6.4), il lira le même terme «emotion» tant dans la marque attaquée que dans la marque opposante. Partant, il convient également d'admettre une similitude phonétique entre les signes.</w:t>
      </w:r>
    </w:p>
    <w:p>
      <w:r>
        <w:rPr>
          <w:b/>
        </w:rPr>
        <w:t>E. 6.6</w:t>
      </w:r>
    </w:p>
    <w:p>
      <w:r>
        <w:t>Le sens d'un signe emprunté au langage courant peut également être déterminant. Hormis la signification sémantique des mots, les associations d'idées qu'appelle la marque entrent en considération. Le sens marquant imprégnant d'emblée la conscience en lisant la marque ou en l'entendant dominera en règle générale le souvenir que l'on en gardera. Lorsqu'une marque verbale possède une signification de ce genre qui ne se retrouve pas dans l'autre marque, la probabilité que le public se laisse tromper par un son ou une image graphique analogue s'atténue (ATF 121 III 377 consid. 2b Boss/Boks). La compensation de la similarité visuelle et auditive par des sens différents n'est possible que si les marques se différencient par un sens qui est sans autre compréhensible et à ce point frappant qu'il s'impose dans l'inconscient des milieux concernés (arrêt du Tribunal administratif fédéral B-1171/2007 du 3 juin 2008 consid. 8.2.4 Orthofix/Orthofit). L'IPI considère que la «certaine similitude» phonétique entre les signes est compensée par leur sens qui diverge de manière essentielle. Relevant que la représentation graphique de la marque attaquée met en évidence la séparation des éléments «e» et «motion», il fait valoir qu'il est usuel de comprendre le terme «e» comme signifiant «électronique» ou «électrique» et que «motion» signifie «mouvement» en anglais, de sorte que la combinaison des deux termes pourrait signifier «mouvement électronique ou électrique». Il ajoute que ce genre de construction de mots avec «e» pour désigner l'électronique ou l'électricité est courant de nos jours (e motion pour des fauteuils électriques/électroniques pour handicapés, e mobility, e government ou e business). En relation avec les produits concernés, cette marque peut former un sens en désignant le caractère électronique et/ou électrique des véhicules ou moyens de transport visés. Ainsi, la marque opposante vise le mot «émotion» dans le sens des sentiments, de l'affection, tandis que la marque attaquée évoque la mobilité, le mouvement, le transport (électronique et/ou électrique). Selon l'IPI, cette différence sémantique, combinée à l'absence de similarité visuelle, annule la légère similarité phonétique entre les signes. La recourante allègue que les considérations sémantiques ou intellectuelles ne sont pas propres à annihiler la quasi identité des signes, et ce en dépit de la césure de la lettre «e» dans la marque attaquée. Elle relève que l'IPI, après avoir constaté que la marque attaquée était descriptive dans l'hypothèse où elle s'appliquerait à des véhicules électriques et que son étendue de protection serait ainsi restreinte car limitée à l'écriture légèrement stylisée, considère contre toute attente que la différence sémantique combinée à l'absence de similarité visuelle annule la légère similarité phonétique entre les signes. Selon la recourante, c'est oublier qu'en se plaçant dans le cas de figure envisagé par l'IPI, soit l'application du mot «EMOTION» à des véhicules électriques, le consommateur moyen relèvera aussitôt la dualité sémantique permise par ce mot. Celui-là pensera certes au sens premier de ce terme, auquel se cantonne l'IPI, mais ne manquera pas de saisir le jeu de mots qu'il suggère, faisant également dans son esprit la césure entre «E» et «MOTION». En l'espèce, il a été établi plus haut (consid. 6.4 et 6.5) que le consommateur concerné lira et prononcera les signes en conflit de la même manière en tant qu'il y verra à chaque fois le terme «emotion». Il appréhendera de ce fait ce mot comme signifiant «sensation (agréable ou désagréable), considérée du point de vue affectif» (consid. 6.1). Force est dès lors de constater que les signes en présence revêtent une signification identique.</w:t>
      </w:r>
    </w:p>
    <w:p>
      <w:r>
        <w:rPr>
          <w:b/>
        </w:rPr>
        <w:t>E. 6.7</w:t>
      </w:r>
    </w:p>
    <w:p>
      <w:r>
        <w:t>Au regard de ce qui a été exposé ci-dessus, compte tenu de la similarité des produits revendiqués par les marques en question et de la similitude visuelle, auditive et sémantique des signes due à l'élément verbal «emotion», il y a lieu de conclure à l'existence d'un risque de confusion direct entre les signes en présence.</w:t>
      </w:r>
    </w:p>
    <w:p>
      <w:r>
        <w:rPr>
          <w:b/>
        </w:rPr>
        <w:t>E. 7</w:t>
      </w:r>
    </w:p>
    <w:p>
      <w:r>
        <w:t>Il résulte de ce qui précède que la décision attaquée viole le droit fédéral. Partant, le recours, dans la mesure où il est recevable, et l'opposition n° 9035 doivent être admis. Les chiffres 1 et 3 de la décision de l'IPI du 24 octobre 2007 sont annulés. La marque suisse no 556'743 «emotion» (fig.) doit être refusée à l'enregistrement pour ce qui concerne les produits de la classe 12.</w:t>
      </w:r>
    </w:p>
    <w:p>
      <w:r>
        <w:rPr>
          <w:b/>
        </w:rPr>
        <w:t>E. 8.1</w:t>
      </w:r>
    </w:p>
    <w:p>
      <w:r>
        <w:t>Vu l'issue de la procédure, les frais de la procédure de recours comprenant l'émolument judiciaire et les débours doivent être mis à la charge de l'intimée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Dans les procédures de recours en matière d'opposition, il y a lieu d'évaluer l'intérêt de l'opposant à la radiation de la marque, respectivement l'intérêt du défendeur au maintien de la marque attaquée.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les valeurs empiriques, soit entre Fr. 50'000.- et Fr. 100'000.- (ATF 133 III 490 consid. 3.3). En l'espèce, les frais de la procédure de recours doivent être fixés à Fr. 4'000.-. L'intimée est invitée à s'acquitter de ce montant au moyen du bulletin de versement joint en annexe.</w:t>
      </w:r>
    </w:p>
    <w:p>
      <w:r>
        <w:rPr>
          <w:b/>
        </w:rPr>
        <w:t>E. 8.2</w:t>
      </w:r>
    </w:p>
    <w:p>
      <w:r>
        <w:t>Un montant de Fr. 800.- à titre de remboursement de la taxe d'opposition doit également être alloué à la recourante et mis à la charge de l'intimée qui succombe (art. 34 LPM).</w:t>
      </w:r>
    </w:p>
    <w:p>
      <w:r>
        <w:rPr>
          <w:b/>
        </w:rPr>
        <w:t>E. 8.3</w:t>
      </w:r>
    </w:p>
    <w:p>
      <w:r>
        <w:t>Il convient de mettre à la charge de la recourante les frais relatifs à la décision incidente du 3 mars 2008 dans la mesure où elle a succombé dans sa conclusion tendant à exclure l'intimée de la procédure. En l'espèce, ces frais doivent être fixés à Fr. 250.- et imputés sur l'avance de frais de Fr. 4'500.- versée par la recourante le 10 janvier 2008. Le solde de Fr. 4'250.- lui est restitué.</w:t>
      </w:r>
    </w:p>
    <w:p>
      <w:r>
        <w:rPr>
          <w:b/>
        </w:rPr>
        <w:t>E. 9</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Selon l'art. 14 al. 1 FITAF, les parties qui ont droit aux dépens doivent faire parvenir au Tribunal, avant le prononcé de la décision, un décompte de leurs prestations. Le Tribunal fixe les dépens sur la base du décompte (art. 14 al. 2 FITAF). La recourante qui obtient gain de cause et qui est représentée par un avocat a droit à des dépens (art. 64 al. 1 PA). Cette dernière a produit le 26 novembre 2007 une note de frais et dépens qui se décompose de la manière suivante : Fr. 4'500.- pour les frais et honoraires de première instance et Fr. 9'500.- pour les frais encourus pour le recours (soit Fr. 4'500.- de provision pour frais de procédure et Fr. 5'000.- pour travaux, frais et honoraires), soit un total de Fr. 14'000.-. En l'espèce, il y a lieu d'admettre que si la présente procédure a présenté une certaine complexité, le mandataire de la recourante n'a cependant pas été confronté à des questions de fait ou de droit inhabituelles ou exceptionnellement ardues et n'a pas été amené à étudier un dossier particulièrement volumineux. Le montant retenu par la recourante paraît donc disproportionné. Partant, il se justifie d'allouer à la recourante une indemnité de Fr. 2'000.- (TVA comprise) à titre de dépens pour la procédure de recours, à laquelle s'ajoute un montant de Fr. 1'000.- (TVA comprise) à titre de dépens pour la procédure devant l'autorité inférieure, soit un total de Fr. 3'000.- mis à la charge de l'intimée.</w:t>
      </w:r>
    </w:p>
    <w:p>
      <w:r>
        <w:rPr>
          <w:b/>
        </w:rPr>
        <w:t>E. 10</w:t>
      </w:r>
    </w:p>
    <w:p>
      <w:r>
        <w:t>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