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B-7969/2015 vom 16. März 2016</w:t>
      </w:r>
    </w:p>
    <w:p>
      <w:r>
        <w:t>Bundesverwaltungsgericht, 2016-03-16, FR</w:t>
      </w:r>
    </w:p>
    <w:p>
      <w:r>
        <w:rPr>
          <w:b/>
        </w:rPr>
        <w:t xml:space="preserve">Quelle: </w:t>
      </w:r>
      <w:r>
        <w:t>https://mcp.opencaselaw.ch/entscheid/bvger_B-7969_2015</w:t>
      </w:r>
    </w:p>
    <w:p>
      <w:r>
        <w:t>FR: TAF B-7969/2015 du 16 mars 2016</w:t>
      </w:r>
    </w:p>
    <w:p>
      <w:r>
        <w:t>IT: TAF B-7969/2015 del 16 marzo 2016</w:t>
      </w:r>
    </w:p>
    <w:p>
      <w:pPr>
        <w:pStyle w:val="Heading2"/>
      </w:pPr>
      <w:r>
        <w:t>Regeste</w:t>
      </w:r>
    </w:p>
    <w:p>
      <w:r>
        <w:t>Entraide administrative internationale</w:t>
      </w:r>
    </w:p>
    <w:p>
      <w:pPr>
        <w:pStyle w:val="Heading2"/>
      </w:pPr>
      <w:r>
        <w:t>Erwägungen</w:t>
      </w:r>
    </w:p>
    <w:p>
      <w:r>
        <w:rPr>
          <w:b/>
        </w:rPr>
        <w:t>E. 7</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respectant les conditions mentionnées et traitées ci-dessus, n'est pas inopportune (art. 49 PA). Dès lors, mal fondé, le recours doit être rejeté.</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recourants ont succombé dans l'ensemble de leurs conclusions. En conséquence, les frais de procédure, lesquels s'élèvent à 3'000 francs, doivent être intégralement mis à leur charge. Ils sont compensés par l'avance de frais de 3'000 francs déjà versée.</w:t>
      </w:r>
    </w:p>
    <w:p>
      <w:r>
        <w:rPr>
          <w:b/>
        </w:rPr>
        <w:t>E. 8.2</w:t>
      </w:r>
    </w:p>
    <w:p>
      <w:r>
        <w:t>Vu l'issue de la procédure, les recourants n'ont pas droit à des dépens (art. 64 PA).</w:t>
      </w:r>
    </w:p>
    <w:p>
      <w:r>
        <w:rPr>
          <w:b/>
        </w:rPr>
        <w:t>E. 9</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