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B-7949/2007 vom 2. September 2008</w:t>
      </w:r>
    </w:p>
    <w:p>
      <w:r>
        <w:t>Bundesverwaltungsgericht, 2008-09-02, FR</w:t>
      </w:r>
    </w:p>
    <w:p>
      <w:r>
        <w:rPr>
          <w:b/>
        </w:rPr>
        <w:t xml:space="preserve">Quelle: </w:t>
      </w:r>
      <w:r>
        <w:t>https://mcp.opencaselaw.ch/entscheid/bvger_B-7949_2007</w:t>
      </w:r>
    </w:p>
    <w:p>
      <w:r>
        <w:t>FR: TAF B-7949/2007 du 2 septembre 2008</w:t>
      </w:r>
    </w:p>
    <w:p>
      <w:r>
        <w:t>IT: TAF B-7949/2007 del 2 settembre 2008</w:t>
      </w:r>
    </w:p>
    <w:p>
      <w:pPr>
        <w:pStyle w:val="Heading2"/>
      </w:pPr>
      <w:r>
        <w:t>Regeste</w:t>
      </w:r>
    </w:p>
    <w:p>
      <w:r>
        <w:t>Maturité fédérale</w:t>
      </w:r>
    </w:p>
    <w:p>
      <w:pPr>
        <w:pStyle w:val="Heading2"/>
      </w:pPr>
      <w:r>
        <w:t>Erwägungen</w:t>
      </w:r>
    </w:p>
    <w:p>
      <w:r>
        <w:rPr>
          <w:b/>
        </w:rPr>
        <w:t>E. 1</w:t>
      </w:r>
    </w:p>
    <w:p>
      <w:r>
        <w:t>Le Tribunal administratif fédéral examine d'office et librement la recevabilité des recours qui lui sont soumis (ATAF 2007/6 consid. 1 ; Alfred Kölz/Isabelle Häner, Verwaltungsverfahren und Verwaltungsrechtspflege des Bundes, 2e éd., Zurich 1998, n° 410).</w:t>
      </w:r>
    </w:p>
    <w:p>
      <w:r>
        <w:rPr>
          <w:b/>
        </w:rPr>
        <w:t>E. 1.1</w:t>
      </w:r>
    </w:p>
    <w:p>
      <w:r>
        <w:t>En vertu de l'art. 31 de la loi fédérale du 17 juin 2005 sur le Tribunal administratif fédéral (LTAF, RS 173.32), le Tribunal administratif fédéral connaît des recours contre les décisions au sens de l'art. 5 de la loi fédérale du 20 décembre 1968 sur la procédure administrative (PA, RS 172.021), prises par les autorités mentionnées aux art. 33 et 34 LTAF. Demeurent réservées les exceptions - non réalisées en l'espèce - prévues à l'art. 32 LTAF. En l'espèce, la décision de la Commission suisse de maturité du 20 septembre 2007 est une décision au sens de l'art. 5 PA émanant d'une autorité au sens de l'art. 33 let. f LTAF. Le Tribunal administratif fédéral est donc compétent pour statuer sur le présent recours.</w:t>
      </w:r>
    </w:p>
    <w:p>
      <w:r>
        <w:rPr>
          <w:b/>
        </w:rPr>
        <w:t>E. 1.2</w:t>
      </w:r>
    </w:p>
    <w:p>
      <w:r>
        <w:t>Le recourant, qui a pris part à la procédure devant l'autorité inférieure, est spécialement atteint par la décision attaquée et a un intérêt digne de protection à son annulation ou à sa modification. La qualité pour recourir doit dès lors lui être reconnue (art. 48 al. 1 let. a à c PA). Le recours, mis à la poste le 19 octobre 2007, a été déposé en temps utile (art. 50 PA).</w:t>
      </w:r>
    </w:p>
    <w:p>
      <w:r>
        <w:rPr>
          <w:b/>
        </w:rPr>
        <w:t>E. 2</w:t>
      </w:r>
    </w:p>
    <w:p>
      <w:r>
        <w:t>En l'espèce, le recourant a tout d'abord demandé l'accès aux copies de l'examen de ses premier et second passages dans toutes les matières. Par ordonnance du 5 février 2008, le juge instructeur a transmis au recourant les copies des examens contestés. Par décision incidente du 18 avril 2008, il a par ailleurs considéré qu'il n'y avait pas lieu de l'autoriser à consulter les examens des sessions précédentes dans toutes les matières. Dans son recours, P._______ ne motive pas sa requête. De plus, du moment qu'il conteste le résultat des examens dans deux branches seulement, on ne comprend pas pour quelle raison il requiert la production des pièces du dossier concernant toutes les matières d'examen des sessions précédentes. Enfin, l'autorité doit examiner le résultat des examens sur la base des prestations effectuées lors de la session litigieuse, de sorte qu'une comparaison avec les précédentes sessions est dénuée de pertinence.</w:t>
      </w:r>
    </w:p>
    <w:p>
      <w:r>
        <w:rPr>
          <w:b/>
        </w:rPr>
        <w:t>E. 3</w:t>
      </w:r>
    </w:p>
    <w:p>
      <w:r>
        <w:t>Aux termes de l'art. 52 al. 1 PA, le mémoire de recours indique les conclusions, motifs et moyens de preuve et porte la signature du recourant ou de son mandataire ; celui-ci y joint l'expédition de la décision attaquée et les pièces invoquées comme moyens de preuve, lorsqu'elles se trouvent en ses mains. Si le recours ne satisfait pas à ces exigences, ou si les conclusions ou les motifs du recourant n'ont pas la clarté nécessaire, sans que le recours soit manifestement irrecevable, l'autorité de recours impartit au recourant un court délai supplémentaire pour régulariser le recours (art. 52 al. 2 PA). Elle avise en même temps le recourant que si le délai n'est pas utilisé, elle statuera sur la base du dossier ou si les conclusions, les motifs ou la signature manquent, elle déclarera le recours irrecevable (art. 52 al. 3 PA). Selon la jurisprudence du Tribunal fédéral, applicable en l'espèce, il ne faut pas poser des exigences trop strictes quant à la formulation des conclusions et des motifs présentés dans un recours de droit administratif. Il suffit qu'on puisse déduire de l'acte de recours sur quels points et pour quelles raisons la décision attaquée est critiquée, ce que le recourant demande et sur quels faits il entend se fonder (ATF 130 I 312 consid. 1.3.1). Une motivation même brève est suffisante (ATF 109 Ib 246 consid. 3c). Il n'est pas nécessaire que les conclusions soient formulées explicitement pour qu'elles soient recevables ; il suffit qu'elles résultent clairement des motifs allégués (ATF 131 II 449 consid. 1.3). Toutefois, si le recours ne contient aucune motivation, le Tribunal fédéral n'entre pas en matière (ATF 109 Ib 246 consid. 3c). Il en va de même si la motivation n'est pas topique (ATF 118 Ib 134 consid. 2).</w:t>
      </w:r>
    </w:p>
    <w:p>
      <w:r>
        <w:rPr>
          <w:b/>
        </w:rPr>
        <w:t>E. 3.1</w:t>
      </w:r>
    </w:p>
    <w:p>
      <w:r>
        <w:t>En l'espèce, le recourant ne se plaint, sur le plan matériel, que de sa note à la dissertation de français et de ses notes d'anglais. Pour le reste, il ne soulève aucun grief à l'encontre des notes obtenues dans les autres branches.</w:t>
      </w:r>
    </w:p>
    <w:p>
      <w:r>
        <w:rPr>
          <w:b/>
        </w:rPr>
        <w:t>E. 3.1.1</w:t>
      </w:r>
    </w:p>
    <w:p>
      <w:r>
        <w:t>Concernant la dissertation de français, il s'étonne de sa note de 3, alors qu'il avait obtenu la note de 3.5 lors de son premier examen où il n'avait rendu que le plan de dissertation. Selon lui, il a cette fois-ci rendu un travail plus structuré et complet que le précédent. Il souhaite ainsi comprendre les raisons d'une notation aussi sévère. Le recourant estime également que ses notes d'anglais sont très basses. Ayant passé une année en Angleterre dans un cours intensif, il pensait avoir le niveau requis pour obtenir au moins la moyenne à l'examen de maturité. Il a en outre produit divers certificats d'anglais ainsi que trois recommandations émanant de personnes qui l'ont aidé dans sa préparation (une pour l'économie, le français, l'anglais et les mathématiques, une pour l'allemand et une pour l'option spécifique). Le juge instructeur a notamment transmis au recourant la prise de position détaillée de l'examinateur de la dissertation de français accompagnée de la copie corrigée de l'examen ainsi que la copie corrigée de l'examen d'anglais. Il l'a invité à motiver son recours en précisant pour quelles raisons il estimait que ses prestations avaient été sous-évaluées, l'avertissant en même temps que, à défaut, le recours pourrait, le cas échéant, être déclaré irrecevable. Le recourant n'a toutefois pas répondu à ce courrier. Il ressort du recours que le recourant s'étonne tant de sa note à la dissertation de français que de ses notes d'anglais, sans démontrer en quoi ses prestations auraient été sous-évaluées. A aucun moment il ne fait valoir en quoi la décision attaquée violerait le droit fédéral, relèverait d'un abus ou d'un excès du pouvoir d'appréciation ou encore reposerait sur une constatation inexacte ou incomplète des faits au sens de l'art. 49 PA. Au contraire, invité par le juge instructeur à déposer des observations éventuelles sur la réponse de l'autorité inférieure - à laquelle étaient notamment jointes la prise de position de l'examinateur de la dissertation de français ainsi que la copie corrigée de l'épreuve d'anglais -, puis à motiver son recours sous peine d'irrecevabilité, le recourant n'a pas répondu à ces courriers. Ainsi, le recourant ne s'exprime pas sur la prise de position de l'examinateur de la dissertation de français qui s'est pourtant prononcé de manière détaillée sur les raisons de la note insuffisante obtenue par le recourant. De même, la copie corrigée de l'examen d'anglais permettait au recourant de comprendre comment son examen avait été apprécié ; il n'a toutefois pas émis de critiques concrètes à son encontre. De fait, il faut bien constater que le recourant n'apporte aucun argument concret, mais se borne à des déclarations générales, sans apporter le moindre indice qui pourrait laisser apparaître que ses travaux n'auraient pas été évalués correctement, ni saisi l'occasion de compléter son recours. Bien que le Tribunal administratif fédéral établisse les faits et vérifie d'office l'application du droit fédéral, il n'a cependant pas à rechercher toutes les implications juridiques possibles et il ne lui incombe donc pas de suppléer à une argumentation déficiente (arrêt du TF 2A.570/1999 du 12 avril 2000 consid. 1b). Il apparaît ainsi que le recours ne satisfait pas aux exigences de l'art. 52 PA et que, conformément à la sanction dûment annoncée, il doit être déclaré irrecevable sur ce point. Au demeurant, à supposer que l'on ait dû entrer en matière sur ce point, on aurait bien dû constater que, au vu des explications fournies par l'examinateur de la dissertation de français, la décision attaquée n'apparaît pas insoutenable. Rien ne permet de retenir que dit examinateur a émis des exigences excessives ou qu'il a manifestement sous-estimé le travail du recourant en lui attribuant la note incriminée. De plus, au vu de l'ensemble des résultats du recourant, l'échec à l'épreuve écrite de français paraît suffisant pour confirmer l'échec à l'examen de maturité, dès lors que, pour satisfaire aux critères de réussite d'examen énoncés à l'art. 22 al. 1 de l'ordonnance du 7 décembre 1998 sur l'examen suisse de maturité (RS 413.12) - qui prévoit que l'examen est réussi si le candidat a obtenu un total de 115 points au moins (let. a) ou a obtenu entre 92 et 114,5 points, pour autant qu'il n'ait pas de notes insuffisantes dans plus de trois disciplines et que la somme des écarts de points par rapport à 4 dans ces disciplines soit inférieure ou égale à 7 (let. b) -, le recourant devrait obtenir un total de 15 points à la branche "troisième langue, anglais" alors qu'il n'en a obtenu que 10,5 points. Vu le corrigé de son épreuve écrite d'anglais, il est pratiquement impossible au recourant de prétendre obtenir ce total de 15 points.</w:t>
      </w:r>
    </w:p>
    <w:p>
      <w:r>
        <w:rPr>
          <w:b/>
        </w:rPr>
        <w:t>E. 4</w:t>
      </w:r>
    </w:p>
    <w:p>
      <w:r>
        <w:t>Le recourant invoque ensuite divers griefs formels concernant la préparation et le déroulement de l'examen de maturité. Dans la mesure où le recourant conteste l'interprétation et l'application de prescriptions légales ou s'il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déroulés (ATF 106 Ia 1 consid. 3c ; ATAF 2007/6 consid. 3 ; arrêt du Tribunal administratif fédéral B-7953/2007 du 14 février 2008 consid. 2 ; Jurisprudence des autorités administratives de la Confédération [JAAC] 56.16 consid. 2.2 ; René A. Rhinow/Beat Krähenmann, Schweizerische Verwaltungsrechtsprechung, Ergänzungsband, Bâle/Francfort-sur-le-Main 1990, n° 67 B III, p. 212). Les griefs formels invoqués par le recourant doivent dès lors être examinés avec un plein pouvoir d'examen. Un vice de procédure ne constitue un motif de recours au sens de l'art. 49 let. a PA justifiant l'admission du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sauf s'il s'avère particulièrement grave (JAAC 66.62 consid. 4, 56.16 consid. 4). Du fait qu'en matière d'examens, l'autorité de surveillance n'a pas la compétence de substituer son pouvoir d'appréciation à celui de la commission d'examen, l'admission d'un vice formel ne pourrait conduire tout au plus qu'à autoriser le recourant à repasser les épreuves en question (JAAC 64.106 consid. 6.6.2, 61.31 consid. 8.2).</w:t>
      </w:r>
    </w:p>
    <w:p>
      <w:r>
        <w:rPr>
          <w:b/>
        </w:rPr>
        <w:t>E. 4.1</w:t>
      </w:r>
    </w:p>
    <w:p>
      <w:r>
        <w:t>Le recourant fait en premier lieu valoir qu'il a rencontré des difficultés d'ordre technique lors de sa préparation à l'examen. Il allègue que le site internet officiel de la maturité fédérale a cessé de fonctionner vers la fin du mois de juin, rendant impossible l'accès aux programmes et archives de l'examen. Selon lui, l'entraînement aux épreuves était ainsi plus difficile, dès lors que, en tant que candidat libre, il ne disposait d'aucun autre moyen de récupérer des épreuves des années précédentes. L'autorité inférieure réfute les allégations du recourant. Elle affirme que, s'il arrive que le site du SER ait des pannes, ces dernières ne dépassent généralement pas une heure, voire 24 heures dans les cas extrêmes, et ajoute que, sur demande, elle peut demander un "rapport des interruptions". Il appert de ce qui précède que le recourant n'a, à aucun moment, remis en cause l'explication de l'autorité inférieure, selon laquelle les pannes ne dépassent en principe pas une heure ou 24 heures dans les cas extrêmes. En outre, le Tribunal de céans peine à comprendre ce grief du recourant, dans la mesure où ce dernier a déjà passé l'examen de maturité et savait par conséquent de quelle manière il allait être interrogé.</w:t>
      </w:r>
    </w:p>
    <w:p>
      <w:r>
        <w:rPr>
          <w:b/>
        </w:rPr>
        <w:t>E. 4.2</w:t>
      </w:r>
    </w:p>
    <w:p>
      <w:r>
        <w:t>Le recourant invoque ensuite une inégalité de traitement, dans la mesure où les professeurs des écoles privées se réservent le droit d'être présents dans la salle durant les épreuves orales. Il relève que, après avoir assisté à un oral, certains enseignants divulguaient ainsi à leurs élèves le type de questions posées et les réponses attendues. Plus personnellement, il explique que, lors de son examen oral de mathématiques, la présence dans la salle de son ancien professeur de physique, avec lequel il avait de mauvaises relations, l'a fortement perturbée. S'il ne le tient pas pour responsable de sa note, le recourant souligne toutefois que sa présence l'a gêné et que, étant actuellement suivi médicalement, chaque événement négatif provoque chez lui des réactions intenses et destructrices. Sous la note marginale "Accès aux épreuves", l'art. 13 de l'ordonnance sur l'examen suisse de maturité prévoit que l'accès de tiers est subordonné à l'autorisation de la direction de la session. Dans sa réponse, l'autorité inférieure explique en outre que les enseignants du privé peuvent être autorisés, par le Président de session, à assister aux épreuves orales s'ils en font la demande et s'ils s'engagent à ne pas assister à des examens où figurent des élèves de leur école. Il appert de ce qui précède que l'accès des professeurs des écoles privées aux épreuves orales est soumis à la double condition que leur demande soit acceptée et qu'ils s'engagent à ne pas assister à des examens où figurent des élèves de leur école. Aucun vice de procédure ne peut en conséquence être reproché à l'autorité inférieure s'agissant de la présence d'enseignants d'écoles privées lors d'examens oraux dans la mesure où ils remplissent les conditions susmentionnées. En l'espèce, ces conditions ont été respectées, dès lors que l'enseignant en question a été autorisé à être présent dans la salle. Par ailleurs, il sied de rappeler que le recourant n'était plus élève de l'école privée où enseigne ledit enseignant. La présence de l'ancien professeur de physique du recourant dans la salle n'était ainsi pas constitutive d'un vice de forme. Si ce dernier ne souhaitait toutefois pas que dit professeur assiste à son examen, il aurait dû le faire savoir aux examinateurs avant son examen. Au demeurant, il sied de constater que le candidat est libre de préparer son examen suisse de maturité en suivant les programmes proposés par une école privée ou en autodidacte (candidat libre). En choisissant de se préparer en tant que candidat libre, le recourant a assumé le risque de ne pas bénéficier d'informations auxquelles pourraient avoir accès les candidats se préparant dans une école privée. Ce fait n'est cependant pas constitutif d'une inégalité de traitement, dès lors qu'il résulte du choix du recourant et qu'il est inhérent au système. Il convient par ailleurs de souligner que, comme l'a relevé l'autorité inférieure, le recourant était, lors de sa précédente tentative, élève d'une école privée.</w:t>
      </w:r>
    </w:p>
    <w:p>
      <w:r>
        <w:rPr>
          <w:b/>
        </w:rPr>
        <w:t>E. 4.3</w:t>
      </w:r>
    </w:p>
    <w:p>
      <w:r>
        <w:t>Il résulte de ce qui précède que, mal fondé, le recours doit être rejeté dans la mesure où il est recevable.</w:t>
      </w:r>
    </w:p>
    <w:p>
      <w:r>
        <w:rPr>
          <w:b/>
        </w:rPr>
        <w:t>E. 5</w:t>
      </w:r>
    </w:p>
    <w:p>
      <w:r>
        <w:t>Vu l'issue de la procédure, les frais de procédure comprenant l'émolument judiciaire et les débours doivent être mis à la charge du recourant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Etant donné l'issue de la procédure, le recourant n'a pas droit à des dépens (art. 64 al. 1 PA).</w:t>
      </w:r>
    </w:p>
    <w:p>
      <w:r>
        <w:rPr>
          <w:b/>
        </w:rPr>
        <w:t>E. 6</w:t>
      </w:r>
    </w:p>
    <w:p>
      <w:r>
        <w:t>Le présent arrêt est définitif (art. 83 let. t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