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B-7909/2007 vom 21. August 2008</w:t>
      </w:r>
    </w:p>
    <w:p>
      <w:r>
        <w:t>Bundesverwaltungsgericht, 2008-08-21, DE</w:t>
      </w:r>
    </w:p>
    <w:p>
      <w:r>
        <w:rPr>
          <w:b/>
        </w:rPr>
        <w:t xml:space="preserve">Quelle: </w:t>
      </w:r>
      <w:r>
        <w:t>https://mcp.opencaselaw.ch/entscheid/bvger_B-7909_2007</w:t>
      </w:r>
    </w:p>
    <w:p>
      <w:r>
        <w:t>FR: TAF B-7909/2007 du 21 août 2008</w:t>
      </w:r>
    </w:p>
    <w:p>
      <w:r>
        <w:t>IT: TAF B-7909/2007 del 21 agosto 2008</w:t>
      </w:r>
    </w:p>
    <w:p>
      <w:pPr>
        <w:pStyle w:val="Heading2"/>
      </w:pPr>
      <w:r>
        <w:t>Regeste</w:t>
      </w:r>
    </w:p>
    <w:p>
      <w:r>
        <w:t>Arbeitslosenversicherung</w:t>
      </w:r>
    </w:p>
    <w:p>
      <w:pPr>
        <w:pStyle w:val="Heading2"/>
      </w:pPr>
      <w:r>
        <w:t>Erwägungen</w:t>
      </w:r>
    </w:p>
    <w:p>
      <w:r>
        <w:rPr>
          <w:b/>
        </w:rPr>
        <w:t>E. 1</w:t>
      </w:r>
    </w:p>
    <w:p>
      <w:r>
        <w:t>Der Entscheid der Vorinstanz vom 8. Mai 2007 stellt eine Verfügung im Sinne von Art. 5 Abs. 1 Bst. c des Bundesgesetzes vom 20. Dezember 1968 über das Verwaltungsverfahren (VwVG, SR 172.021) dar. Verfügungen der Vorinstanz unterliegen der Beschwerde an das Bundesverwaltungsgericht (Art. 5 Abs. 1 VwVG sowie Art. 31 und 33 Bst. d des Verwaltungsgerichtsgesetzes vom 17. Juni 2005 [VGG, SR 173.32]). Die Beschwerdeführerin ist als Adressatin der angefochtenen Verfügung durch diese berührt und hat daher ein schutzwürdiges Interesse an ihrer Aufhebung (Art. 48 Bst. a VwVG). Sie ist also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Nach Art. 82 Abs. 1 des Bundesgesetzes vom 25. Juni 1982 über die obligatorische Arbeitslosenversicherung und die Insolvenzentschädigung (Arbeitslosenversicherungsgesetz, AVIG, SR 837.0) in der seit dem 1. Januar 2001 gültigen, hier anwendbaren Fassung (AS 2000 3096) haftet der Träger einer - nach Art. 78 AVIG eingerichteten und anerkannten - privaten Arbeitslosenkasse dem Bund für Schäden, die seine Kasse durch mangelhafte Erfüllung ihrer Aufgaben absichtlich oder fahrlässig verursacht hat. Die Schadenersatzansprüche werden durch die Ausgleichsstelle der Arbeitslosenversicherung, welche durch die Vorinstanz geführt wird (vgl. Art. 83 Abs. 3 AVIG), mittels Verfügung geltend gemacht (vgl. Art. 82 Abs. 3 Satz 1 AVIG).</w:t>
      </w:r>
    </w:p>
    <w:p>
      <w:r>
        <w:rPr>
          <w:b/>
        </w:rPr>
        <w:t>E. 3</w:t>
      </w:r>
    </w:p>
    <w:p>
      <w:r>
        <w:t>Streitig und zu prüfen ist, ob erstens die seitens der Kasse X._______ gegenüber ausgerichtete Arbeitslosenentschädigung teilweise zu Unrecht und somit in mangelhafter Erfüllung der Aufgaben der Kasse ausbezahlt worden und ob zweitens dem Bund dadurch ein absichtlich oder fahrlässig verursachter Schaden entstanden ist, für welchen die Beschwerdeführerin einzustehen hat.</w:t>
      </w:r>
    </w:p>
    <w:p>
      <w:r>
        <w:rPr>
          <w:b/>
        </w:rPr>
        <w:t>E. 4</w:t>
      </w:r>
    </w:p>
    <w:p>
      <w:r>
        <w:t>Die Arbeitslosenentschädigung ist zu Unrecht ausgerichtet worden, wenn der Versicherte in der Anspruchsberechtigung einzustellen war. Die Einstellung hat insbesondere dann zu erfolgen, wenn der Versicherte ohne entschuldbaren Grund eine zumutbare Arbeitsstelle ohne Zusicherung einer neuen aufgegeben oder eine zumutbare Arbeit abgelehnt hat (Art. 30 Abs. 1 Bst. a AVIG i.V.m. Art. 45 Abs. 3 der Verordnung vom 31. August 1983 über die obligatorische Arbeitslosenversicherung und die Insolvenzentschädigung, Arbeitslosenversicherungsverordnung, AVIV, SR 837.02). Dieser Tatbestand liegt auch dann vor, wenn der Versicherte auf die Weiterführung seines Arbeitsverhältnisses verzichtet, obwohl ihm das Verbleiben an der Arbeitsstelle zugemutet werden kann (vgl. Urteil des Bundesgerichts C 133/03 vom 29. Oktober 2003, E. 2 f.).</w:t>
      </w:r>
    </w:p>
    <w:p>
      <w:r>
        <w:rPr>
          <w:b/>
        </w:rPr>
        <w:t>E. 5</w:t>
      </w:r>
    </w:p>
    <w:p>
      <w:r>
        <w:t>Die Beschwerdeführerin rügt, die Vorinstanz habe der Kasse zu Unrecht vorgeworfen, sie hätte X._______ in der Anspruchsberechtigung einstellen müssen. Es sei nicht erwiesen, dass dem Versicherten die Weiterführung des Arbeitsvertrages zu gleichen Bedingungen bis zum 31. Dezember 2005 angeboten worden sei. X._______ wäre auch gar nicht zuzumuten gewesen, auf ein derartiges Angebot einzugehen. Ihm sei gekündigt worden, weil er mit seiner Arbeit überfordert gewesen sei und weil es am Arbeitsplatz zu erheblichen kommunikativen und zwischenmenschlichen Differenzen gekommen sei. Unter diesen Umständen könne von einem Arbeitnehmer nicht erwartet werden, das Arbeitsverhältnis weiterzuführen.</w:t>
      </w:r>
    </w:p>
    <w:p>
      <w:r>
        <w:rPr>
          <w:b/>
        </w:rPr>
        <w:t>E. 5.1</w:t>
      </w:r>
    </w:p>
    <w:p>
      <w:r>
        <w:t>Die Beweislast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Im Bereich der Arbeitslosenversicherung heisst dies, dass der Versicherte, der Anspruch auf Leistungen erhebt, die Beweislast dafür trägt, dass die Voraussetzungen für den Anspruch auf Arbeitslosenentschädigung erfüllt sind. Hat der Versicherte seine Arbeitslosigkeit durch die Ablehnung einer angebotenen Stelle verursacht, so gehört dazu auch die Beweislast dafür, dass das weitere Verbleiben am Arbeitsplatz für ihn unzumutbar war oder dass er entschuldbare Gründe für seine Ablehnung hatte (vgl. BGE 124 V 234, E. 4.bb). In Bezug auf das Trägerhaftungsverfahren hat diese Beweislastverteilung zur Folge, dass der Kasse eine mangelhafte Aufgabenerfüllung vorzuwerfen ist, wenn sie Taggelder ausgerichtet hat, obwohl der Versicherte diesen Nachweis nicht erbracht hat. Massgeblich ist der Sachverhalt, wie er sich im Trägerhaftungsverfahren - d.h. insbesondere aufgrund der Kassenakten - darstellt. Der Versicherte ist im Trägerhaftungsverfahren nicht Partei, und angesichts der Interessenlage wird in antizipierter Beweiswürdigung im Regelfall auch davon abgesehen, ihn als Zeugen einzuvernehmen.</w:t>
      </w:r>
    </w:p>
    <w:p>
      <w:r>
        <w:rPr>
          <w:b/>
        </w:rPr>
        <w:t>E. 5.2</w:t>
      </w:r>
    </w:p>
    <w:p>
      <w:r>
        <w:t>Dass dem Versicherten mündlich angeboten wurde, die Kündigungsfrist um drei Monate zu verlängern, ergibt sich sowohl aus den Darstellungen des Versicherten selbst in seinem Gesuch wie auch aus den Angaben der Y._______. Die Angaben unterscheiden sich insofern, als der Versicherte in seinem Antrag ausführte, die Y._______ hätte dafür einen neuen, unzumutbaren Vertrag aufgesetzt, während die Y._______ auf Anfrage der Kasse zu diesem Punkt ausdrücklich antwortete, X._______ sei die Weiterführung des Arbeitsverhältnisses zu den gleichen Vertragsbedingungen angeboten worden. Auf die Aufforderung der Kasse zur Stellungnahme zu diesen Ausführungen der Arbeitgeberin bestritt er diese Aussage nur insofern, als er geltend macht, der neue Vertrag hätte neue Zielvereinbarungen enthalten. Dass die Y._______ ihm einen niedrigeren Lohn oder andere für ihn nachteilige Vertragsänderungen vorgeschlagen habe, behauptete er jedoch nicht.</w:t>
      </w:r>
    </w:p>
    <w:p>
      <w:r>
        <w:rPr>
          <w:b/>
        </w:rPr>
        <w:t>E. 5.3</w:t>
      </w:r>
    </w:p>
    <w:p>
      <w:r>
        <w:t>Die Frage der Zumutbarkeit des Verbleibens an der bisherigen Arbeitsstelle ist nach Art. 16 AVIG zu beurteilen, wonach grundsätzlich jede Arbeit zumutbar ist, ausser es ist einer der in Abs. 2 abschlies-send aufgelisteten Ausnahmetatbestände erfüllt (BGE 124 V 62 E. 3b). Unzumutbar und somit von der Annahmepflicht ausgenommen ist nach Art. 16 Abs. 2 AVIG eine Arbeit, die a. den berufs- und ortsüblichen, insbesondere den gesamt- oder normalarbeitsvertraglichen Bedingungen nicht entspricht; b. nicht angemessen auf die Fähigkeiten oder auf die bisherige Tätigkeit des Versicherten Rücksicht nimmt; c. dem Alter, den persönlichen Verhältnissen oder dem Gesundheitszustand des Versicherten nicht angemessen ist; d. die Wiederbeschäftigung des Versicherten in seinem Beruf wesentlich erschwert, falls darauf in absehbarer Zeit überhaupt Aussicht besteht; e. in einem Betrieb auszuführen ist, in dem wegen einer kollektiven Arbeitsstreitigkeit nicht normal gearbeitet wird; f. einen Arbeitsweg von mehr als zwei Stunden je für den Hin- und Rückweg notwendig macht und bei welcher für den Versicherten am Arbeitsort keine angemessene Unterkunft vorhanden ist oder er bei Vorhandensein einer entsprechenden Unterkunft seine Betreuungspflicht gegenüber den Angehörigen nicht ohne grössere Schwierigkeiten erfüllen kann; g. eine ständige Abrufsbereitschaft des Arbeitnehmers über den Umfang der garantierten Beschäftigung hinaus erfordert; h. in einem Betrieb auszuführen ist, der Entlassungen zum Zwecke vorgenommen hat, Neu- oder Wiedereinstellungen zu wesentlich schlechteren Arbeitsbedingungen vorzunehmen; oder i. dem Versicherten einen Lohn einbringt, der geringer ist als 70 Prozent des versicherten Verdienstes, es sei denn, der Versicherte erhalte Kompensationsleistungen nach Artikel 24 AVIG.</w:t>
      </w:r>
    </w:p>
    <w:p>
      <w:r>
        <w:rPr>
          <w:b/>
        </w:rPr>
        <w:t>E. 5.4</w:t>
      </w:r>
    </w:p>
    <w:p>
      <w:r>
        <w:t>Nach der Rechtsprechung ist die Zumutbarkeit jedoch beim Verbleiben am Arbeitsplatz strenger zu beurteilen als bei der Annahme einer neuen Stelle (BGE 124 V 63 E. 4bb; Urteil des Bundesgerichts C 133/03 vom 29. Oktober 2003, E. 3.2). Nach ständiger Rechtsprechung des Bundesgerichts genügen ein schlechtes Arbeitsklima und Meinungsverschiedenheiten mit Vorgesetzten oder Arbeitskollegen allein nicht, eine Stelle als unzumutbar erscheinen zu lassen. Erst dann, wenn die Differenzen so intensiv werden, dass eine gesundheitliche Beeinträchtigung zu befürchten ist, kann das Verbleiben am Arbeitsplatz als unzumutbar angesehen werden. Dies muss allerdings durch geeignete Beweismittel, in der Regel ein ärztliches Zeugnis, nachgewiesen werden (vgl. das Urteil des Bundesgerichts C 309/02 vom 16. April 2003, E. 3.3). Dass der Kündigung des X._______ kommunikative und zwischenmenschliche Probleme vorausgingen, führt somit nicht zur Unzumutbarkeit der Weiterführung des Arbeitsverhältnisses.</w:t>
      </w:r>
    </w:p>
    <w:p>
      <w:r>
        <w:rPr>
          <w:b/>
        </w:rPr>
        <w:t>E. 5.5</w:t>
      </w:r>
    </w:p>
    <w:p>
      <w:r>
        <w:t>Aus dem Kündigungsschreiben geht hervor, dass X._______ wegen "organisatorischer Überforderung" gekündigt wurde. Eine Arbeit kann unzumutbar sein, wenn der Versicherte durch die Tätigkeit gesundheitlich überfordert wäre. Im vorliegenden Fall ist jedoch klar, dass mit der angeführten "Überforderung" keine derartige mögliche gesundheitliche Beeinträchtigung des Versicherten gemeint war. Vielmehr wollte die Arbeitgeberin mit diesem Wort offensichtlich zum Ausdruck bringen, dass der Versicherte in organisatorischer Hinsicht die Anforderungen an seine (Kader-)Stelle nicht erfüllte, weshalb sie ihm mit der Kündigungsverlängerung auch weniger anspruchsvolle Zielvereinbarungen vorschlug. Der Versicherte selbst teilte diese Auffassung offenbar nicht, wie aus seinem E-mail an die Arbeitgeberin hervorgeht, erachtete er doch die Kündigung als völlig überraschend. Ob die Auffassung der Arbeitgeberin zutrifft oder nicht, kann hier offen gelassen werden, denn eine Arbeit ist nicht unzumutbar, wenn sie das Fähigkeits- und Fertigkeitsniveau des Versicherten unterschreitet, sondern nur, wenn sie es überschreitet (vgl. Urteil des Bundesgerichts C 133/03 vom 29. Oktober 2003, E. 3.3).</w:t>
      </w:r>
    </w:p>
    <w:p>
      <w:r>
        <w:rPr>
          <w:b/>
        </w:rPr>
        <w:t>E. 5.6</w:t>
      </w:r>
    </w:p>
    <w:p>
      <w:r>
        <w:t>Aus den Akten ergeben sich somit keine Umstände, welche die von der Arbeitgeberin angebotene Verlängerung der Kündigungsfrist um drei Monate als unzumutbar im Sinn der massgeblichen Gesetzesbestimmungen erscheinen liessen oder ihre Ablehnung entschuldbar gemacht hätte.</w:t>
      </w:r>
    </w:p>
    <w:p>
      <w:r>
        <w:rPr>
          <w:b/>
        </w:rPr>
        <w:t>E. 6</w:t>
      </w:r>
    </w:p>
    <w:p>
      <w:r>
        <w:t>Die Vorinstanz macht daher zu Recht geltend, dass die Kasse entweder weitere Belege hätte einfordern oder aber den Versicherten in der Anspruchsberechtigung hätte einstellen müssen. Der Umstand, dass die abgelehnte Verlängerung nur drei Monate gedauert hätte, hätte dabei zu einer Einstelldauer im Bereich des mittleren Verschuldens führen müssen (vgl. Kreisschreiben des seco über die Arbeitslosenentschädigung, Stand 2005, D68). Aufgrund der auf sechs Monate beschränkten Vollzugsfrist für Einstellungen in der Anspruchsberechtigung (vgl. Art. 30 Abs. 3 letzter Satz AVIG) stellt sich die Frage einer rückwirkenden Einstellung als Folge einer Revisionsverfügung nicht (vgl. BGE 114 V 350, E. 2.b). Indem die Kasse auf die gebotene Einstellung verzichtet und X._______ in der fraglichen Zeit mindestens 20 Taggelder ausbezahlt hat, ist dem Bund in kausaler Weise ein Schaden entstanden.</w:t>
      </w:r>
    </w:p>
    <w:p>
      <w:r>
        <w:rPr>
          <w:b/>
        </w:rPr>
        <w:t>E. 7</w:t>
      </w:r>
    </w:p>
    <w:p>
      <w:r>
        <w:t>Ferner ist zu prüfen, ob die dem Bund verursachte Schadenszufügung fahrlässig erfolgte oder nicht.</w:t>
      </w:r>
    </w:p>
    <w:p>
      <w:r>
        <w:rPr>
          <w:b/>
        </w:rPr>
        <w:t>E. 7.1</w:t>
      </w:r>
    </w:p>
    <w:p>
      <w:r>
        <w:t>Fahrlässig verhält sich, wer Sorgfaltspflichten nicht oder nicht genügend beachtet. Bei der Fahrlässigkeit werden üblicherweise grobe und leichte unterschieden, je nach Schwere des Verschuldens, welches den Verursacher trifft. Dazwischen besteht eine breite Zone der sog. mittleren Fahrlässigkeit. Je grösser die voraussehbare Möglichkeit der Schädigung ist, umso grösser ist dabei die Sorgfaltspflicht und damit auch die Unsorgfalt derjenigen, die ihr nicht Rechnung tragen. Welcher Grad von Fahrlässigkeit vorliegt, ist einzelfallweise festzulegen. Die Beantwortung der Frage beruht auf einem Werturteil. Das Verschulden ist dabei an einem generellen, objektiven Massstab zu messen: Es wird nicht gefragt, ob der Schädiger im konkreten Fall anders hätte handeln können, sondern danach, ob der durchschnittlich Sorgfältige in derselben konkreten Situation anders gehandelt, d.h. die schädigende Handlung vermieden hätte (vgl. dazu Anton K. Schnyder in: Basler Kommentar, Obligationenrecht I, 4. Auflage, Basel 2007, N. 48 zu Art. 41 OR).</w:t>
      </w:r>
    </w:p>
    <w:p>
      <w:r>
        <w:rPr>
          <w:b/>
        </w:rPr>
        <w:t>E. 7.2</w:t>
      </w:r>
    </w:p>
    <w:p>
      <w:r>
        <w:t>Im vorliegenden Fall ist Fahrlässigkeit zu bejahen. Die vorliegend dargelegten Sachverhaltsumstände waren der Kasse bekannt, ergeben sie sich doch alle aus den Kassenakten. Die ständige Rechtsprechung zur Frage, unter welchen Voraussetzungen eine Stelle unzumutbar bzw. ihre Ablehnung durch einen Versicherten entschuldbar ist, ist klar und muss einer Arbeitslosenkasse bekannt sein. Wenn die Kasse unter diesen Umständen auf eine Einstellung verzichtete, wirft ihr die Vorinstanz zu Recht eine Verletzung ihrer Sorgfaltspflichten vor. Ob der Kasse, für deren Verhalten die Beschwerdeführerin haftet, grobe, mittlere oder leichte Fahrlässigkeit vorzuwerfen ist, kann offen gelassen werden. Die Haftung des Trägers greift nach der per 1. Januar 2001 erfolgten Revision des AVIG bereits bei leichter Fahrlässigkeit (Art. 82 Abs. 1 AVIG).</w:t>
      </w:r>
    </w:p>
    <w:p>
      <w:r>
        <w:rPr>
          <w:b/>
        </w:rPr>
        <w:t>E. 8</w:t>
      </w:r>
    </w:p>
    <w:p>
      <w:r>
        <w:t>Zusammenfassend ist festzuhalten, dass die Voraussetzungen für die Trägerhaftung der Beschwerdeführerin erfüllt sind. Die von der Vorinstanz erlassene Revisionsverfügung vom 8. Mai 2007 ist nicht zu beanstanden. Die dagegen erhobene Beschwerde ist unbegründet und daher abzuweisen.</w:t>
      </w:r>
    </w:p>
    <w:p>
      <w:r>
        <w:rPr>
          <w:b/>
        </w:rPr>
        <w:t>E. 9</w:t>
      </w:r>
    </w:p>
    <w:p>
      <w:r>
        <w:t>Als im Prozess unterliegende Partei hat die Beschwerdeführerin die Verfahrenskosten zu tragen (vgl. Art. 63 Abs. 1 VwVG).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Vorliegend handelt es sich um eine Streitigkeit mit Vermögensinteresse, beim gegebenen Streitwert von Fr. 5'742.-- liegt der Gebührenrahmen zwischen Fr. 200.-- und Fr. 5'000.-- (vgl. Art. 4 Zeile 1 VGKE). Das Bundesverwaltungsgericht erachtet angesichts von Umfang und Schwierigkeit der Streitsache eine Gerichtsgebühr in der Höhe von Fr. 700.-- als angebracht. Als im Prozess unterliegende Partei hat die Beschwerdeführerin die Verfahrenskosten zu tragen (vgl. Art. 63 Abs. 1 VwVG). Diese sind mit dem am 7. Juni 2007 geleisteten Kostenvorschuss zu verrechnen.</w:t>
      </w:r>
    </w:p>
    <w:p>
      <w:r>
        <w:rPr>
          <w:b/>
        </w:rPr>
        <w:t>E. 10</w:t>
      </w:r>
    </w:p>
    <w:p>
      <w:r>
        <w:t>Die Beschwerdeführerin hat als unterliegende Partei keinen Anspruch auf Parteientschädigung (vgl. Art. 64 Abs. 1 VwVG, Art. 7 Abs. 1 VGKE). Der Vorinstanz steht als Bundesbehörde ebenfalls kein derartiger Anspruch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