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B-789/2007 vom 27. November 2007</w:t>
      </w:r>
    </w:p>
    <w:p>
      <w:r>
        <w:t>Bundesverwaltungsgericht, 2007-11-27, DE</w:t>
      </w:r>
    </w:p>
    <w:p>
      <w:r>
        <w:rPr>
          <w:b/>
        </w:rPr>
        <w:t xml:space="preserve">Quelle: </w:t>
      </w:r>
      <w:r>
        <w:t>https://mcp.opencaselaw.ch/entscheid/bvger_B-789_2007</w:t>
      </w:r>
    </w:p>
    <w:p>
      <w:r>
        <w:t>FR: TAF B-789/2007 du 27 novembre 2007</w:t>
      </w:r>
    </w:p>
    <w:p>
      <w:r>
        <w:t>IT: TAF B-789/2007 del 27 novembre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d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und der Kostenvorschuss wurde fristgemäss bezahlt (Art. 63 Abs. 4 VwVG). Auf die Beschwerde ist deshalb einzutreten.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Die Widerspruchsmarke wurde am 1. Juni 1995 in das internationale Register eingetragen, die angefochtene Marke am 26. November 2004.</w:t>
      </w:r>
    </w:p>
    <w:p>
      <w:r>
        <w:rPr>
          <w:b/>
        </w:rPr>
        <w:t>E. 2.1</w:t>
      </w:r>
    </w:p>
    <w:p>
      <w:r>
        <w:t>Eine Verwechslungsgefahr im Sinne von Art. 3 Abs. 1 Bst. c MSchG besteht, wenn das jüngere Zeichen die ältere Marke in ihrer Unterscheidungsfunktion beeinträchtigt. Eine solche Beeinträchtigung ist gegeben, sobald zu befürchten ist, dass die massgeblichen Verkehrskreise sich durch die Ähnlichkeiten der Zeichen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die verschiedene Produktelinien des gleichen Unternehmens oder von mehreren, wirtschaftlich miteinander verbundenen Unternehmen kennzeichnen (BGE 128 III 441 E. 3.1 - Appenzeller, BGE 122 III 382 E. 1 - Kamillosan; Urteil des Bundesgerichts 4C.258/2004 vom 6. Oktober 2004 E. 2.1 - Yello).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2.2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Bundesgerichts 4C.258/2004 vom 6. Oktober 2004 E. 2.2 - Yello).</w:t>
      </w:r>
    </w:p>
    <w:p>
      <w:r>
        <w:rPr>
          <w:b/>
        </w:rPr>
        <w:t>E. 2.3</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122 III 382 E. 3a - Kamillosan, BGE 119 II 473 E. 2c - Radion/Radomat).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 Kamillosan; Urteil des Bundesgerichts 4C.258/2004 vom 6. Oktober 2004 E. 2.3 - Yello).</w:t>
      </w:r>
    </w:p>
    <w:p>
      <w:r>
        <w:rPr>
          <w:b/>
        </w:rPr>
        <w:t>E. 2.4</w:t>
      </w:r>
    </w:p>
    <w:p>
      <w:r>
        <w:t>Die Markenähnlichkeit beurteilt sich nach dem Gesamteindruck, den die Marken in der Erinnerung der angesprochenen Verkehrskreise hinterlassen (BGE 121 III 377 E. 2a; Eugen Marbach, Markenrecht, in: Roland von Büren/Lucas David [Hrsg.], Schweizerisches Immaterialgüter- und Wettbewerbsrecht, Bd. III Kennzeichenrecht, Basel 1996 [hiernach: Marbach, SIWR III], S. 116; Lucas David, Kommentar zum Markenschutzgesetz, in: Kommentar zum schweizerischen Privatrecht, Markenschutzgesetz/Muster- und Modellgesetz, Basel 1999 [hiernach: David, Kommentar MSchG], Art. 3 N. 11 und 15; Christoph Willi, Markenschutzgesetz, Kommentar zum schweizerischen Markenrecht unter Berücksichtigung des europäischen und internationalen Markenrechts, Zürich 2002, Art. 3 N. 63 und 67). Bei Bildmarken ist die Gestaltung und, sofern es sich nicht um abstrakte Darstellungen handelt, der begriffliche Inhalt der Marken massgebend (Marbach, SIWR III, S. 121; David, Kommentar MSchG, Art. 3 N. 23; Willi, a.a.O., Art. 3 N. 91). 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(unveröffentlichter Entscheid der Eidgenössischen Rekurskommission für geistiges Eigentum [RKGE] vom 4. Oktober 2006 [MA-WI 04/06] E. 4, mit Verweisen; Marbach, SIWR III, S. 122 f.; Willi, a.a.O., Art. 3 N. 143).</w:t>
      </w:r>
    </w:p>
    <w:p>
      <w:r>
        <w:rPr>
          <w:b/>
        </w:rPr>
        <w:t>E. 3</w:t>
      </w:r>
    </w:p>
    <w:p>
      <w:r>
        <w:t>In einem ersten Schritt ist zu überprüfen, ob die beanspruchten Waren der sich gegenüberstehenden Marken aus Sicht der Abnehmerkreise gleichartig sind. Insofern, als die angefochtene Marke für "vêtements, chaussures, chapellerie pour enfants" (Klasse 25) beansprucht wird, liegt Warenidentität, zumindest aber hochgradige Gleichartigkeit vor, da das Widerspruchszeichen für die nahezu identischen Begriffe "vêtements, chaussures, chapellerie" registriert wurde. Warenidentität respektive -gleichartigkeit liegt auch bei "jeux, jouets; articles de gymnastique et de sport" (Klasse 28) vor, sowie auch bei den ebenfalls in Klasse 28 aufgeführten "cartes à jouer", welche für das angefochtene Zeichen beansprucht werden und unter den Begriff "jeux, jouets" subsumiert werden können. Dieser Umstand legt in Bezug auf den Zeichenabstand einen besonders strengen Massstab nahe (BGE 122 III 382 E. 3a - Kamillosan).</w:t>
      </w:r>
    </w:p>
    <w:p>
      <w:r>
        <w:rPr>
          <w:b/>
        </w:rPr>
        <w:t>E. 4</w:t>
      </w:r>
    </w:p>
    <w:p>
      <w:r>
        <w:t>Die Widerspruchsmarke ist eine reine Bildmarke. Es handelt sich um den Abdruck einer Pfote, bestehend aus einem grossen Pfotenballen, vier Zehenballen und vier Krallen. Das massgebliche Massenpublikum wird in diesem Pfotenabdruck der Widerspruchsmarke den Abdruck eines Wildtieres, vielleicht eines Wolfes, erkennen. Die angefochtene Marke ist eine kombinierte Wort-/Bildmarke, welche von einem ungleichmässig gezeichneten Viereck begrenzt wird. Das Wortelement besteht aus der Wortfolge "Tuc Tuc". Diese ist in weisser Schrift auf einem schwarzen Kreis angebracht. Über diesem Kreis befinden sich drei wesentlich kleinere, schwarze, ovalförmige Flecken.</w:t>
      </w:r>
    </w:p>
    <w:p>
      <w:r>
        <w:rPr>
          <w:b/>
        </w:rPr>
        <w:t>E. 4.1</w:t>
      </w:r>
    </w:p>
    <w:p>
      <w:r>
        <w:t>Bei der Frage, wie das angesprochene (Massen-)Publikum das Bildelement der angefochtenen Marke wahrnimmt, sind sich die Vorinstanz und die Beschwerdeführerin nicht einig: Während die Beschwerdeführerin der Ansicht ist, der Bildbestandteil werde als stilisierte Tatze respektive Pfote interpretiert, erachtet die Vorinstanz diese Interpretation als äusserst fraglich; die Bildelemente könnten gerade so gut als Kombination mehrerer kreisrunder (Farb-)Flecken wahrgenommen werden. Dieser Auffassung kann sich das Bundesverwaltungsgericht ebenso wenig wie die Beschwerdeführerin anschliessen. In der Art und Weise, wie die drei kleinen Flecken über dem grossen Kreis angebracht sind, kann das Bildmotiv von den angesprochenen Verkehrskreisen kaum anders als ein stark stilisierter Pfotenabdruck, beispielsweise eines Plüschtieres, interpretiert werden. Die zu vergleichenden Zeichen stimmen daher im abstrakten Bildmotiv "Pfotenabdruck" und insofern im Sinngehalt (David, Kommentar MSchG, Art. 3 N. 26) überein.</w:t>
      </w:r>
    </w:p>
    <w:p>
      <w:r>
        <w:rPr>
          <w:b/>
        </w:rPr>
        <w:t>E. 5</w:t>
      </w:r>
    </w:p>
    <w:p>
      <w:r>
        <w:t>Bei Bildmarken darf die Verwechslungsgefahr nicht allein auf Grund der Gefahr bejaht werden, dass die Bildzeichen auf Grund des übereinstimmenden Bildmotivs gedanklich miteinander in Verbindung gebracht werden könnten (Willi, a.a.O., Art. 3 N. 95). Eine Übereinstimmung im abstrakten Bildmotiv ist zulässig, weil eine Marke das konkrete Kennzeichen, jedoch nie die dahinter steckende konzeptionelle Idee respektive das Gestaltungsmotiv monopolisiert (Marbach, SIWR III, S. 118; Willi, a.a.O., Art. 3 N. 94; David, Kommentar MSchG, Art. 3 N. 31; RKGE in: Zeitschrift für Immaterialgüter-, Informations- und Wettbewerbsrecht [sic!] 1997 S. 478 E. 4 - ATP Tour [fig.]/MTA [fig.]). Sobald sich die angefochtene Marke als eigenständige Gestaltung des gleichen Motivs und nicht bloss als Variation oder Bearbeitung der Widerspruchsmarke präsentiert, besteht keine Verwechslungsgefahr (Marbach, SIWR III, S. 122; David, Kommentar MSchG, Art. 3 N. 31). Alleine die Tatsachen, dass die zu vergleichenden Marken im abstrakten Bildmotiv "Pfotenabdruck" übereinstimmen und für identische respektive hochgradig gleichartige Waren beansprucht werden, führen daher noch nicht zu einer Verwechslungsgefahr.</w:t>
      </w:r>
    </w:p>
    <w:p>
      <w:r>
        <w:rPr>
          <w:b/>
        </w:rPr>
        <w:t>E. 5.1</w:t>
      </w:r>
    </w:p>
    <w:p>
      <w:r>
        <w:t>Bevor die grafische Ausgestaltung der sich gegenüberstehenden Marken verglichen wird, ist zu prüfen, wie in der angefochtenen Marke der Wortbestandteil im Verhältnis zum Bildbestandteil zu werten ist. Nach Auffassung der Beschwerdeführerin ändert die Einfügung der Wortfolge "Tuc Tuc" im Hinter-/Sohlenballen des Pfotens nichts daran, dass die Beschwerdegegnerin für ihre Marke die Widerspruchsmarke in einer stilisierten und vereinfachten Form übernehme und diese zu einem prägenden Hauptelement ihrer Marke mache. Die Vorinstanz hält dafür, die grafische Ausgestaltung verleihe der angefochtenen Marke ein eigenes Gepräge und könne bei der Beurteilung des Gesamteindrucks nicht einfach ausser Acht gelassen werden. Letzterer werde indessen ebenso stark durch die Begriffsfolge "Tuc Tuc" geprägt. Es sei gar davon auszugehen, dass sich das Publikum im Geschäftsverkehr vorwiegend an diesen Wortelementen orientieren werde. Im Verhältnis zu den von der angefochtenen Marke beanspruchten Waren in den Klassen 25 und 28 handelt es sich bei der Wortfolge "Tuc Tuc" um eine Fantasiebezeichnung respektive um der Kindersprache entnommene Wörter, wie sowohl die Vorinstanz als auch die Beschwerdeführerin zutreffend festhalten. Das Wortelement der angefochtenen Marke hat daher normale Kennzeichnungskraft. Hinsichtlich der beanspruchten "jouets" (Spielzeuge) ist das Bildelement - der Abdruck eines Plüschtieres - beschreibend, weshalb ihm nur schwache Kennzeichnungskraft zukommt, während hinsichtlich der übrigen beanspruchten Waren von einer normalen Kennzeichnungskraft auszugehen ist. Bei diesem Ergebnis ist das Wortelement "Tuc Tuc" der angefochtenen Marke, das im Hinterballen der Pfote zudem einen relativ grossen Raum einnimmt, mindestens gleich stark, wenn nicht sogar stärker zu werten als das Bildelement. Dem Wortelement "Tuc Tuc" ist daher keineswegs eine untergeordnete Bedeutung zuzumessen, wie die Beschwerdeführerin geltend macht.</w:t>
      </w:r>
    </w:p>
    <w:p>
      <w:r>
        <w:rPr>
          <w:b/>
        </w:rPr>
        <w:t>E. 5.2</w:t>
      </w:r>
    </w:p>
    <w:p>
      <w:r>
        <w:t>Hinsichtlich der grafischen Ausgestaltung des Bildmotivs hält die Beschwerdeführerin fest, die sich gegenüberstehenden Zeichen seien ähnlich: Die stilisierte, leicht verfremdete Tatze oder Pfote der angefochtenen Marke stelle nichts anderes als eine kindlich stilisierte Variation oder Bearbeitung der Widerspruchsmarke dar. An der grafischen Bildähnlichkeit änderten die zusätzliche Umrandung, die leicht unterschiedliche Ausrichtung des Abdrucks, die unterschiedliche Anzahl Zehen sowie die fehlenden Krallen nichts, da solche gestalterischen Details im Erinnerungsbild regelmässig verblassten. Zwischen der Widerspruchsmarke und dem Bildelement der angefochtenen Marke sind, wie die Beschwerdeführerin selbst festgestellt hat, einige Unterschiede festzustellen: So ist die Widerspruchsmarke schräg, die angefochtene Marke dagegen senkrecht ausgerichtet und zusätzlich umrandet. Im Weiteren weist sie vier Zehenballen und somit einen Zehenballen mehr als das Bildelement der angefochtenen Marke auf. Krallenabdrücke wie bei der Widerspruchsmarke sind in der angefochtenen Marke nicht zu finden. Im Weiteren ist der in der Widerspruchsmarke enthaltene Hinterballen ausgeprägter geformt als der beinahe kreisrunde Hinterballen in der angefochtenen Marke. Insgesamt wirkt der Pfotenabdruck der Widerspruchsmarke naturgetreu, während der Pfotenabdruck in der angefochtenen Marke derart stark vereinfacht respektive verniedlicht dargestellt wird, dass darin - wie bereits angetönt (vgl. E. 5.1) - kein Abdruck eines real existierenden Tieres mehr, sondern eher eines Plüschtieres, gesehen werden kann. Zusammenfassend kann festgestellt werden, dass das Bildelement der angefochtenen Marke einen völlig anderen Eindruck als die Widerspruchsmarke hinterlässt. Der Eindruck, dass es sich bei der angefochtenen Marke um eine eigenständige Bearbeitung des Motivs "Abdruck einer Tierpfote" handelt, wird noch verstärkt durch die zusätzlich in der angefochtenen Marke angebrachten Wortfolge "Tuc Tuc". Auf Grund der ausgeprägten Unterschiede ist ausgeschlossen, dass die angefochtene Marke lediglich als Variation oder Bearbeitung der Widerspruchsmarke - zum Beispiel zur Kennzeichnung einer Kinderlinie der Beschwerdeführerin oder eines mit ihr verbundenen Unternehmens, wie von der Beschwerdeführerin vorgebracht wird - angesehen wird. Da die Vergleichsmarken in grafischer Hinsicht nicht übereinstimmen, unterscheidet sich der vorliegende Fall vom Fall Eichenblatt (fig.) / Acorn (fig.), welcher von der Beschwerdeführerin zitiert wurde (vgl. Entscheid der RKGE vom 13. November 2006, publiziert in sic! 2007 S. 829). Dort wurde insofern eine grafische Übereinstimmung festgestellt, als sowohl die angefochtene Marke als auch die Widerspruchsmarke schwarze Eichenblätter mit einer weissen Mittelrippe und damit das Muster der schwarz-weiss Negativdarstellung verwendeten. Auch im vom Bundesverwaltungsgericht beurteilten Fall Salamander (fig.) / Salamander (fig.) wurden erhebliche Übereinstimmungen in der Darstellung festgestellt (Urteil B-4536/2007 vom 27. November 2007 E. 7.1), weshalb auch dieser Fall mit dem zu beurteilenden Fall nicht direkt vergleichbar ist.</w:t>
      </w:r>
    </w:p>
    <w:p>
      <w:r>
        <w:rPr>
          <w:b/>
        </w:rPr>
        <w:t>E. 5.3</w:t>
      </w:r>
    </w:p>
    <w:p>
      <w:r>
        <w:t>Schliesslich ist zu prüfen, ob die Widerspruchsmarke kennzeichnungsstark ist und aus diesem Grunde eine Verwechslungsgefahr zu bejahen ist (vgl. unveröffentlichte Entscheide der RKGE vom 4. Oktober 2006 [MA-WI 04/06] E. 8 betreffend "Nike"-Logo, und vom 13. Juli 2006 [MA-WI 43/05] E. 7 betreffend "Puma"-Logo; Willi, a.a.O., Art. 3 N. 95; Marbach, SIWR III, S. 122).</w:t>
      </w:r>
    </w:p>
    <w:p>
      <w:r>
        <w:rPr>
          <w:b/>
        </w:rPr>
        <w:t>E. 5.3.1</w:t>
      </w:r>
    </w:p>
    <w:p>
      <w:r>
        <w:t>Die Beschwerdeführerin hält dafür, der Widerspruchsmarke komme bereits originär mindestens durchschnittliche Kennzeichnungskraft zu. Der Tatzen-/Pfotenabdruck sei weder produktbeschreibend noch ein häufig verwendetes, abgegriffenes Bildsymbol im Zusammenhang mit den beanspruchten Waren der Klassen 18, 22, 25 und 28. Vielmehr handle es sich um eine einprägsame Marke mit hohem Wiedererkennungswert.</w:t>
      </w:r>
    </w:p>
    <w:p>
      <w:r>
        <w:rPr>
          <w:b/>
        </w:rPr>
        <w:t>E. 5.3.2</w:t>
      </w:r>
    </w:p>
    <w:p>
      <w:r>
        <w:t>Beim Widerspruchszeichen handelt es sich um den Abdruck einer Pfote. Insofern, als die Marke für Leder und Lederprodukte (Klasse 18) beansprucht wird, weist das Zeichen andeutungsweise auf die Beschaffenheit des Produkts hin. Hinsichtlich der ebenfalls in Klasse 18 aufgeführten Taschen (insbesondere Rucksäcke), Seile, Netze und Zelte (Klasse 22) sowie der Kleider, Schuhe und Hutwaren (Klasse 25) weist es auf einen möglichen Verwendungszweck dieser Waren, nämlich die Verwendung in der freien Natur respektive die Verwendung als Outdoor-Ausrüstung, hin. Die Hinweise auf die Beschaffenheit und den Verwendungszweck sind jedoch nicht offensichtlich, weshalb es zu weit ginge, das Widerspruchszeichen als direkt produktbeschreibend zu qualifizieren. Indessen ist festzustellen, dass es sich beim Widerspruchszeichen um die naturgetreue Wiedergabe eines Pfotenabdrucks handelt, weshalb es entgegen der Meinung der Beschwerdeführerin ursprünglich wenig kennzeichnungskräftig ist (Willi, a.a.O., Art. 3 N. 94).</w:t>
      </w:r>
    </w:p>
    <w:p>
      <w:r>
        <w:rPr>
          <w:b/>
        </w:rPr>
        <w:t>E. 5.3.3</w:t>
      </w:r>
    </w:p>
    <w:p>
      <w:r>
        <w:t>Weiter ist zu prüfen, ob die Widerspruchsmarke ihre Kennzeichnungskraft zufolge langjähriger und intensiver Benutzung in der Schweiz gesteigert hat und so zu einer sehr bekannten Marke mit deutlich erweitertem Schutzbereich geworden ist, wie die Beschwerdeführerin geltend macht. Zur Begründung führt sie aus, die Widerspruchsmarke werde von ihr seit vielen Jahren in Europa, so insbesondere auch in der Schweiz, und in Asien in sehr erheblichem Umfang benutzt. Der hohe Bekanntheitsgrad der JACK WOLFSKIN Tatzen-/Pfotenmarke dürfte in der Schweiz notorisch sein. Dass die Marke "Jack Wolfskin" dem in der Schweiz angesprochenen Massenpublikum bekannt ist, ist anzunehmen. Ob dies auch für das Widerspruchzeichen selbst gilt, mithin ein Kennzeichnungskraft-Transfer von der Wort-/Bildmarke "Jack Wolfskin" auf die Widerspruchsmarke anzunehmen ist, ist indessen fraglich: Wie beispielsweise dem von der Beschwerdeführerin ins Recht gelegten Jack Wolfskin-Katalog "Winter 2006" zu entnehmen ist, tritt auf den abgebildeten Kleidungsstücken primär das Wort-/Bildzeichen "Jack Wolfskin" (mit Pfotenabdruck) in Erscheinung. Und soweit aus den übrigen Belegen ersichtlich ist, setzt die Beschwerdeführerin in der Werbung nicht die Widerspruchsmarke selbst ein, sondern die erwähnte Wort-/Bildmarke sowie andere, dem Widerspruchszeichen ähnelnde Marken. Die Widerspruchsmarke scheint dagegen, wenn überhaupt, eher als dekoratives Element, zum Beispiel auf Jackenreversen, gebraucht zu werden. Unter diesen Umständen ist nicht davon auszugehen, dass die Widerspruchsmarke, losgelöst von der Wort-/Bildmarke "Jack Wolfskin", bei den angesprochenen Verkehrskreisen derart bekannt ist, dass ihr erhöhte Kennzeichnungskraft zugeschrieben werden kann. Die Beschwerdeführerin kann sich daher nicht auf eine erhöhte Kennzeichnungskraft des Widerspruchzeichens zur Begründung einer (mittelbaren) Verwechslungsgefahr berufen.</w:t>
      </w:r>
    </w:p>
    <w:p>
      <w:r>
        <w:rPr>
          <w:b/>
        </w:rPr>
        <w:t>E. 6</w:t>
      </w:r>
    </w:p>
    <w:p>
      <w:r>
        <w:t>Die Beschwerde erweist sich somit als unbegründet und ist abzuweisen. Der Entscheid der Vorinstanz ist demnach zu bestätigen. Bei diesem Ausgang des Verfahrens ist die Gerichtsgebühr der Beschwerdeführerin aufzuerlegen (Art. 63 Abs. 1 VwVG). Die Gerichtsgebühr ist nach Umfang und Schwierigkeit der Streitsache, Art der Prozessführung und finanzieller Lage der Parteien festzulegen (Art. 63 Abs. 4bis VwVG, Art. 2 des Reglements vom 11. Dezember 2006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(Johann Zürcher, Der Streitwert im Immaterialgüter- und Wettbewerbsrechtsprozess, sic! 2002 S. 493 ff., S. 505; Leonz Meyer, Der Streitwert in Prozessen um Immaterialgüterrechte und Firmen, sic! 2001 S. 559 ff.; Lucas David, Der Rechtsschutz im Immaterialgüterrecht, in: Roland von Büren / Lucas David (Hrsg.), Schweizerisches Immaterialgüter- und Wettbewerbsrecht, Bd. I/2, 2. Aufl., Basel 1998, S. 29 f.). Eine Parteientschädigung wird der unterliegenden Beschwerdeführerin nicht zugesprochen (Art. 64 Abs. 1 VwVG, Art. 7 Abs. 1 VGKE).</w:t>
      </w:r>
    </w:p>
    <w:p>
      <w:r>
        <w:rPr>
          <w:b/>
        </w:rPr>
        <w:t>E. 7</w:t>
      </w:r>
    </w:p>
    <w:p>
      <w:r>
        <w:t>Die Beschwerdegegnerin mit Wohnsitz in Spanien hat für das vorliegende Verfahren keinen Vertreter in der Schweiz bezeichnet (Art. 42 Abs. 1 MSchG). Die gerichtlichen Akten des Bundesverwaltungsgerichts konnten der Beschwerdegegnerin auch nicht persönlich, d.h. an ihre im Markenregister vermerkte Adresse in Spanien, zugestellt werden: Die spanische Post retournierte ein an die Beschwerdegegnerin versandtes Schreiben mit der Bemerkung "Desconocido" (dt.: "unbekannt"). Sollte eine Zustellung des Entscheids über den diplomatischen Weg scheitern, wird der Entscheid daher im Bundesblatt publiziert werden.</w:t>
      </w:r>
    </w:p>
    <w:p>
      <w:r>
        <w:rPr>
          <w:b/>
        </w:rPr>
        <w:t>E. 8</w:t>
      </w:r>
    </w:p>
    <w:p>
      <w:r>
        <w:t>Gegen dieses Urteil steht keine Beschwerde am Bundesgericht offen (Art. 73 des Bundesgerichtsgesetzes vom 17. Juni 2005 [BGG, SR 173.110]). Es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