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B-7870/2025 vom 17. März 2026</w:t>
      </w:r>
    </w:p>
    <w:p>
      <w:r>
        <w:t>Bundesverwaltungsgericht, 2026-03-17, DE</w:t>
      </w:r>
    </w:p>
    <w:p>
      <w:r>
        <w:rPr>
          <w:b/>
        </w:rPr>
        <w:t xml:space="preserve">Quelle: </w:t>
      </w:r>
      <w:r>
        <w:t>https://mcp.opencaselaw.ch/entscheid/bvger_B-7870_2025</w:t>
      </w:r>
    </w:p>
    <w:p>
      <w:r>
        <w:t>FR: TAF B-7870/2025 du 17 mars 2026</w:t>
      </w:r>
    </w:p>
    <w:p>
      <w:r>
        <w:t>IT: TAF B-7870/2025 del 17 marzo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Unklare Rechtsbegehren sind unter Berücksichtigung der Beschwerdebegründung nach dem Vertrauensprinzip auszulegen. Es genügt, wenn aus der Begründung klar hervorgeht, in welchem Sinne der angefochtene Entscheid abgeändert werden soll (BGE 137 II 313 E. 1.3; Urteil des BVGer A-2783/2022 vom 1. März 2024 E. 1.3.1). Der Beschwerdeführer beantragt die «Gutheissung» des Antrags um Rückforderung der umstrittenen Fr. 53'006.45. Aus der Beschwerdebegründung ergibt sich jedoch eindeutig, dass er sich gegen die Rückforderung wendet und deren Aufhebung anstrebt.</w:t>
      </w:r>
    </w:p>
    <w:p>
      <w:r>
        <w:rPr>
          <w:b/>
        </w:rPr>
        <w:t>E. 1.4</w:t>
      </w:r>
    </w:p>
    <w:p>
      <w:r>
        <w:t>Der Beschwerdeführer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2.1</w:t>
      </w:r>
    </w:p>
    <w:p>
      <w:r>
        <w:t>Die Beschwerde vor dem Bundesverwaltungsgericht richtet sich inhaltlich allein gegen die Rückerstattungsverpflichtung. Dispositiv-Ziff. 1 und 4 des Einspracheentscheids (das Nichteintreten auf die Beschwerde von B._______ und die Regelung der Rückzahlungsmodalitäten) werden nicht beanstandet. Die angefochtene Rückerstattungsverpflichtung in Höhe von Fr. 53'006.45 setzt sich zusammen aus Fr. 1'665.15 für drei Monate (Juni 2020, Dezember 2020 und Januar 2021), in welchen einzelne Feiertage in den jeweiligen Abrechnungsperioden bei der Berechnung der Sollstunden unberücksichtigt geblieben waren, sowie aus Fr. 51'341.30 aufgrund des Umstands, dass der Beschwerdeführer keine betriebliche Arbeitszeitkontrolle vorlegen konnte. Für diejenigen Mitarbeitenden und Monate mit nachweislich vollständigen Arbeitsausfällen verzichtete die Vorinstanz trotz fehlender betrieblicher Arbeitszeitkontrolle auf eine Aberkennung des Anspruchs.</w:t>
      </w:r>
    </w:p>
    <w:p>
      <w:r>
        <w:rPr>
          <w:b/>
        </w:rPr>
        <w:t>E. 2.2</w:t>
      </w:r>
    </w:p>
    <w:p>
      <w:r>
        <w:t>Der Beschwerdeführer bringt im Hinblick auf die fehlende Vorlage einer betrieblichen Arbeitszeitkontrolle vor, der Mitarbeiter C._______ sei bis zu seinem Tod im Juni 2022 für die Abwicklung der Kurzarbeit und damit auch für die Arbeitszeiterfassung der Mitarbeitenden zuständig gewesen. Die entsprechenden Unterlagen habe C._______ während der Corona-Pandemie aufgrund der behördlichen Massnahmen bei sich zu Hause aufbewahrt, da er seine Tätigkeit weitgehend im Homeoffice ausgeübt habe; Kopien in den Geschäftsräumlichkeiten hätten nicht bestanden. Nach dem Tod von C._______ habe die Polizei dessen Wohnung versiegelt. Dem Beschwerdeführer sei trotz entsprechender Anfragen kein Zugang zu den Räumlichkeiten bzw. zu den dort aufbewahrten Unterlagen gewährt worden. Aus diesem Grund habe er die betreffenden Unterlagen im Rahmen der Arbeitgeberkontrolle vom 12. Mai 2025 nicht vorlegen können. Unter diesen Umständen wäre die kontrollierende Behörde gehalten gewesen zu intervenieren, nachdem dem Beschwerdeführer der Zugang zu den geschäftsrelevanten Unterlagen faktisch verwehrt worden sei.</w:t>
      </w:r>
    </w:p>
    <w:p>
      <w:r>
        <w:rPr>
          <w:b/>
        </w:rPr>
        <w:t>E. 2.3</w:t>
      </w:r>
    </w:p>
    <w:p>
      <w:r>
        <w:t>Die Vorinstanz wendet ein, es erscheine zwar nicht unglaubhaft, dass dem Beschwerdeführer der Zugang zur Wohnung des verstorbenen verantwortlichen Mitarbeiters zeitweise verwehrt gewesen sei. Indessen seien zwischen dem Todeszeitpunkt und der Arbeitgeberkontrolle fast drei Jahre vergangen, ohne dass die erforderlichen Unterlagen erhältlich gemacht worden seien. Dass der Zugang zur Wohnung bzw. zu physischen oder elektronischen Unterlagen über Jahre hinweg unmöglich geblieben sei, erscheine unwahrscheinlich. Es sei zudem nicht Aufgabe der Vorinstanz gewesen, die fehlenden Unterlagen von Amtes wegen zu suchen; vielmehr hätte es dem Beschwerdeführer oblegen, diese zu beschaffen.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(BGE 150 V 249 E. 3.1.1). Die zur Verfügung gestellten Unterlagen müssen das Kontrollorgan in die Lage versetzen, jederzeit möglichst zuverlässig die genauen Arbeitszeiten jedes einzelnen Arbeitnehmers feststellen zu können (Urteil des BVGer B-3229/2024 vom 21. Februar 2025 E. 3.2).</w:t>
      </w:r>
    </w:p>
    <w:p>
      <w:r>
        <w:rPr>
          <w:b/>
        </w:rPr>
        <w:t>E. 3.2.1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BVGer B-1932/2025 vom 22. August 2025 E. 3.3.1). Ein geltend gemachter Arbeitsausfall ist erst dann genügend kontrollierbar, wenn für jeden einzelnen Tag die geleistete Arbeitszeit inkl. allfälliger Mehrstunden, die wirtschaftlich bedingten Ausfallstunden sowie über alle übrigen Absenzen (wie Ferien, Krankheit, Unfall oder Militärdienst) überprüfbar sind (Urteil des BGer 8C_18/2024 vom 9. Juli 2024 E. 6.1).</w:t>
      </w:r>
    </w:p>
    <w:p>
      <w:r>
        <w:rPr>
          <w:b/>
        </w:rPr>
        <w:t>E. 3.2.2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Die gearbeiteten Stunden können elektronisch, mechanisch oder von Hand erfasst werden. Wesentlich ist allein, dass die Dokumentierung ausreichend detailliert ist und zeitgleich erfolgt. Zeitgleich ist eine Arbeitszeiterfassung dann, wenn die Einträge nicht beliebig nachträglich abgeändert werden können, ohne dass dies vermerkt wird (Urteil des BVGer B-1932/2025 vom 22. August 2025 E. 3.3.2 m.H.).</w:t>
      </w:r>
    </w:p>
    <w:p>
      <w:r>
        <w:rPr>
          <w:b/>
        </w:rPr>
        <w:t>E. 3.2.3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BVGer B-6131/2024 vom 4. März 2025 E. 4.4.3).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(BGE 150 V 249 E. 5.1.1 f. und E. 5.2; Urteil B-6131/2024 E. 4.4.3).</w:t>
      </w:r>
    </w:p>
    <w:p>
      <w:r>
        <w:rPr>
          <w:b/>
        </w:rPr>
        <w:t>E. 3.2.4</w:t>
      </w:r>
    </w:p>
    <w:p>
      <w:r>
        <w:t>Eine Arbeitszeitkontrolle kann im Zusammenhang mit der Prüfung eines Arbeitsausfalls nur beweistauglich sein, wenn sie, abgesehen von einzelnen Fehlern, die immer vorkommen können, keine Unstimmigkeiten aufweist (Urteil des BGer 8C_1026/2008 vom 30. Juli 2009 E. 4.2.2; Urteil des BVGer B-3858/2025 vom 24. Oktober 2025 E. 3.2.4). Dabei handelt es sich um eine ähnliche Situation wie bei der Pflicht zur Buchführung und Rechnungslegung nach Art. 957 OR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3.3</w:t>
      </w:r>
    </w:p>
    <w:p>
      <w:r>
        <w:t>Im Sozialversicherungsverfahren liegt die Beweislast für die anspruchsbegründenden Tatsachen, vorliegend für den geltend gemachten Arbeitsausfall, bei der Leistungsansprecherin (vgl. BGE 121 V 204 E. 6a; Patrick L. Krauskopf/Markus Wyssling, in: Bernhard Waldmann/Patrick L. Krauskopf [Hrsg.], Praxiskommentar Verwaltungsverfahrensgesetz, 3. Aufl. 2023, Art. 12 N 230). Zwar muss die Behörde bei begründeten Zweifeln beispielsweise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BVGer B-1932/2025 vom 22. August 2025 E. 3.4 m.H.).</w:t>
      </w:r>
    </w:p>
    <w:p>
      <w:r>
        <w:rPr>
          <w:b/>
        </w:rPr>
        <w:t>E. 3.4.1</w:t>
      </w:r>
    </w:p>
    <w:p>
      <w:r>
        <w:t>Die Versicherten und ihre Arbeitgeber haben beim Vollzug der Sozialversicherungsgesetze unentgeltlich mitzuwirken (Art. 1 Abs. 1 AVIG i.V.m. Art. 28 Abs. 1 ATSG). Es handelt sich um eine Generalklausel, die immer dann herangezogen werden kann, wenn die Pflichten in den Einzelgesetzen (bspw. im AVIG) nicht explizit ausgeführt werden (Kurt Pärli/Laura Kunz, in: Ghislaine Frésard-Fellay/Barbara Klett/Susanne Leuzinger [Hrsg.], Basler Kommentar, Allgemeiner Teil des Sozialversicherungsrechts, 2. Aufl., Basel 2025 [nachfolgend: BSK ATSG], Art. 28 N 21). Dabei fallen insbesondere die Auskunftserteilung, die Pflicht zur Herausgabe von Unterlagen und die Pflicht zur Duldung von Augenscheinen in Betracht (Urteil des BVGer B-1932/2025 vom 22. August 2025 E. 4.4 m.H.). Die Folgen der Verletzung sind in Art. 43 Abs. 3 ATSG geregelt (Aktenentscheid oder Nichteintreten). Die Mitwirkung stellt, trotz Geltung des Untersuchungsgrundsatzes beziehungsweise der sozialversicherungsrechtlichen Abklärungspflicht (Art. 43 Abs. 1 ATSG), ein unabdingbares Element zur Sachverhaltsabklärung und damit zur Klärung und Festsetzung von allfälligen Leistungsansprüchen dar (Urteil des BVGer B-1932/2025 vom 22. August 2025 E. 4.4; vgl. auch Pärli/Kunz, BSK ATSG, Art. 28 N 14).</w:t>
      </w:r>
    </w:p>
    <w:p>
      <w:r>
        <w:rPr>
          <w:b/>
        </w:rPr>
        <w:t>E. 3.4.2</w:t>
      </w:r>
    </w:p>
    <w:p>
      <w:r>
        <w:t>Bei Kurzarbeitsentschädigung werden Leistungen aufgrund summarischer Abklärungen provisorisch gewährt und ein gründliches Beweisverfahren findet erst nachträglich anlässlich einer Arbeitgeberkontrolle statt (Urteil des BVGer B-1932/2025 vom 22. August 2025 E. 4.3 m.H.). Nach der Rechtsprechung wird verlangt, dass die Blätter der betrieblichen Arbeitszeitkontrolle grundsätzlich am Kontrolltermin vorgelegt werden (Urteil des BVGer B-1932/2025 vom 22. August 2025 E. 5.3.3; vgl. oben E. 3.2.3).</w:t>
      </w:r>
    </w:p>
    <w:p>
      <w:r>
        <w:rPr>
          <w:b/>
        </w:rPr>
        <w:t>E. 4.1</w:t>
      </w:r>
    </w:p>
    <w:p>
      <w:r>
        <w:t>Die Arbeitszeitkontrolle für den Bezugszeitraum März 2020 bis März 2022 wurde an der Arbeitgeberkontrolle unbestrittenermassen nicht vorgelegt. Im Sozialversicherungsverfahren sind Versicherte und ihre Arbeitgeber gehalten, aktiv an der Abklärung des Sachverhalts mitzuwirken und insbesondere die anspruchsrelevanten Unterlagen vollständig und fristgerecht einzureichen. Werden entscheidwesentliche Unterlagen nicht beigebracht, obwohl sie sich im Verantwortungsbereich der leistungsansprechenden Partei befinden, darf die Verwaltung gestützt auf die vorhandenen Akten entscheiden (vgl. oben E. 3.4.1). Die daraus resultierende Beweislosigkeit geht zulasten des Beschwerdeführers (vgl. oben E. 3.3; Urteil des BVGer B-2827/2024 vom 24. Februar 2025 E. 4.8.3).</w:t>
      </w:r>
    </w:p>
    <w:p>
      <w:r>
        <w:rPr>
          <w:b/>
        </w:rPr>
        <w:t>E. 4.2</w:t>
      </w:r>
    </w:p>
    <w:p>
      <w:r>
        <w:t>Soweit der Beschwerdeführer im Zusammenhang mit der Nichtvorlage einer betrieblichen Arbeitszeitkontrolle vorbringt, der Zugang zu den Unterlagen sei infolge des Todes des verantwortlichen Mitarbeiters im Juni 2022 nicht möglich gewesen, betrifft dies trotz dieses tragischen Ereignisses die betriebsinterne Organisation. Der Beschwerdeführer hatte seine Arbeitszeitkontrolle so auszugestalten, dass das Kontrollorgan in die Lage versetzt wird, jederzeit möglichst zuverlässig die genauen Arbeitszeiten jedes einzelnen Arbeitnehmers feststellen zu können. Organisatorische Mängel oder der Ausfall einzelner Schlüsselpersonen fallen in den Verantwortungsbereich des Beschwerdeführers und vermögen das Nachweiserfordernis nicht zu relativieren. Die Rechtsprechung hat wiederholt festgehalten, dass auch andere betriebsinterne Umstände - wie etwa die Entsorgung von Arbeitszeitnachweisen (vgl. Urteil des BVGer B-1097/2024 vom 30. Juli 2025 E. 2.12 ff.), die Vernichtung von Originalbelegen nach digitaler Übertragung (Urteile des BVGer B-188/2010 vom 2. März 2011 E. 3.5 ff. und B-4689/2018 vom 14. Januar 2019 E. 2.6 ff.) oder der Verlust von Unterlagen während eines Umzugs (Urteil des BVGer B-3229/2024 vom 21. Februar 2025 E. 5.3) - die fehlende Kontrollierbarkeit nicht zu rechtfertigen vermögen und zur Rückerstattung der Kurzarbeitsentschädigung führen. Zudem wäre es dem Beschwerdeführer - selbst bei Annahme eines vorübergehenden Hindernisses - zumutbar gewesen, die erforderlichen Unterlagen nachträglich zu sichern oder wiederzubeschaffen. Unabhängig davon ist darauf hinzuweisen, dass die betriebliche Arbeitszeitkontrolle nach der Rechtsprechung nur dann beweistauglich ist, wenn sie täglich fortlaufend und zeitgleich geführt wurde und ihre Authentizität jederzeit überprüfbar ist. Nachdem die Arbeitszeitkontrolle anlässlich der Arbeitgeberkontrolle nicht vorgelegt wurde und die Unterlagen bis heute nicht beigebracht werden konnten, ist weder erstellt noch überprüfbar, ob überhaupt ein rechtsgenügendes Zeiterfassungssystem bestand.</w:t>
      </w:r>
    </w:p>
    <w:p>
      <w:r>
        <w:rPr>
          <w:b/>
        </w:rPr>
        <w:t>E. 4.3</w:t>
      </w:r>
    </w:p>
    <w:p>
      <w:r>
        <w:t>Mangels Vorlage einer solchen Arbeitszeitkontrolle anlässlich der Arbeitgeberkontrolle ist die Bestimmbarkeit bzw. Kontrollierbarkeit des Arbeitsausfalls und der Arbeitszeit im Sinne von Art. 31 Abs. 3 Bst. a AVIG nicht gewährleistet. Der Schluss der Vorinstanz, wonach der entsprechende Anspruch auf Kurzarbeitsentschädigung im Umfang von Fr. 51'341.30 entfällt, ist daher nicht zu beanstanden.</w:t>
      </w:r>
    </w:p>
    <w:p>
      <w:r>
        <w:rPr>
          <w:b/>
        </w:rPr>
        <w:t>E. 4.4</w:t>
      </w:r>
    </w:p>
    <w:p>
      <w:r>
        <w:t>Die von der Vorinstanz vorgenommene Kürzung in Höhe von Fr. 1'665.15, begründet mit der Nichtberücksichtigung einzelner Feiertage bei der Berechnung der Sollstunden, wird vom Beschwerdeführer nicht substantiiert bestritten. Auch aus den Akten ergeben sich keine Anhaltspunkte, welche diese Berechnung als fehlerhaft erscheinen liessen. Die Kürzung ist daher nicht zu beanstanden.</w:t>
      </w:r>
    </w:p>
    <w:p>
      <w:r>
        <w:rPr>
          <w:b/>
        </w:rPr>
        <w:t>E. 4.5</w:t>
      </w:r>
    </w:p>
    <w:p>
      <w:r>
        <w:t>Nach dem Gesagten ist die Vorinstanz zu Recht davon ausgegangen, dass die Anspruchsvoraussetzungen für die Kurzarbeitsentschädigung im Umfang von Fr. 53'006.45 nicht erstellt sind.</w:t>
      </w:r>
    </w:p>
    <w:p>
      <w:r>
        <w:rPr>
          <w:b/>
        </w:rPr>
        <w:t>E. 5.1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5.2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 Urteil des BVGer B-3858/2025 vom 24. Oktober 2025 E. 5.2).</w:t>
      </w:r>
    </w:p>
    <w:p>
      <w:r>
        <w:rPr>
          <w:b/>
        </w:rPr>
        <w:t>E. 5.3</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 Der zeitliche Eintritt der Wirkung der Wiedererwägung ist beim Tatbestand des unrechtmässigen Leistungsbezugs in Art. 25 Abs. 1 ATSG geregelt, indem eine rückwirkende Korrektur vorzunehmen ist (Urteil des BVGer B-3858/2025 vom 24. Oktober 2025 E. 5.3; Diana Oswald, in: Ueli Kieser/Matthias Kradolfer/Miriam Lendfers [Hrsg.], Schulthess Kommentar zum Bundesgesetz über den Allgemeinen Teil des Sozialversicherungsrechts, 5. Aufl. 2024, Art. 53 N 72).</w:t>
      </w:r>
    </w:p>
    <w:p>
      <w:r>
        <w:rPr>
          <w:b/>
        </w:rPr>
        <w:t>E. 5.4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Urteil des BVGer B-3858/2025 vom 24. Oktober 2025 E. 5.4). Die Unrichtigkeit der Leistungszusprache im Umfang von insgesamt Fr. 53'006.45 für den Zeitraum März 2020 bis März 2022 ergibt sich zum einen aus der Nichtberücksichtigung einzelner Feiertage bei der Berechnung der Sollstunden in drei Abrechnungsperioden (Juni 2020, Dezember 2020 und Januar 2021) und zum anderen aus der Nichtvorlage einer betrieblichen Arbeitszeitkontrolle anlässlich der Arbeitgeberkontrolle. Letzteres führt dazu, dass die Bestimmbarkeit bzw. Kontrollierbarkeit des Arbeitsausfalls und der Arbeitszeit im Sinne von Art. 31 Abs. 3 Bst. a AVIG nicht gewährleistet ist. Somit fehlt es an einer materiell-rechtlichen Anspruchsvoraussetzung für den Bezug von Kurzarbeitsentschädigung in dieser Höhe (vgl. BGE 150 V 249 E. 6). Die Berichtigung ist, angesichts des in Frage stehenden Betrags, von erheblicher Bedeutung. Das wiedererwägungsweise Zurückkommen auf die Leistungszusprache durch die Vorinstanz ist vorliegend nicht zu beanstanden.</w:t>
      </w:r>
    </w:p>
    <w:p>
      <w:r>
        <w:rPr>
          <w:b/>
        </w:rPr>
        <w:t>E. 6</w:t>
      </w:r>
    </w:p>
    <w:p>
      <w:r>
        <w:t>Der angefochtene Einspracheentscheid vom 23. September 2025 gegen die Rückforderungsverfügung betreffend Kurzarbeitsentschädigung im Umfang von Fr. 53'006.45 ist bundesrechtlich nicht zu beanstanden. Die Beschwerde erweist sich als unbegründet und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B-3858/2025 vom 24. Oktober 2025 E. 7). Entsprechend dem Verfahrensausgang hat der unterliegende Beschwerdeführer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2'100.-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