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B-784/2014 vom 16. November 2022</w:t>
      </w:r>
    </w:p>
    <w:p>
      <w:r>
        <w:t>Bundesverwaltungsgericht, 2022-11-16, DE</w:t>
      </w:r>
    </w:p>
    <w:p>
      <w:r>
        <w:rPr>
          <w:b/>
        </w:rPr>
        <w:t xml:space="preserve">Quelle: </w:t>
      </w:r>
      <w:r>
        <w:t>https://mcp.opencaselaw.ch/entscheid/bvger_B-784_2014</w:t>
      </w:r>
    </w:p>
    <w:p>
      <w:r>
        <w:t>FR: TAF B-784/2014 du 16 novembre 2022</w:t>
      </w:r>
    </w:p>
    <w:p>
      <w:r>
        <w:t>IT: TAF B-784/2014 del 16 novembre 2022</w:t>
      </w:r>
    </w:p>
    <w:p>
      <w:pPr>
        <w:pStyle w:val="Heading2"/>
      </w:pPr>
      <w:r>
        <w:t>Regeste</w:t>
      </w:r>
    </w:p>
    <w:p>
      <w:r>
        <w:t>Unzulässige Wettbewerbsabreden</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Konzerns über Preise, Preiselemente und Preisfestsetzungsmechanismen abzusprechen und entsprechende In- formationen auszutauschen (Dispositiv Ziffer 1). Zudem werden sie zur Be- zahlung eines Sanktionsbetrags von Fr. […] (Dispositiv Ziffer 2) sowie zu Verfahrenskosten von Fr. 96'588.– (in solidarischer Haftung für den Ge- 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1.2.2</w:t>
      </w:r>
    </w:p>
    <w:p>
      <w:r>
        <w:t>Den Beschwerdeführerinnen, welche die vollumfängliche Aufhebung der angefochtenen Verfügung beantragen, fehlt indessen die Beschwer in- soweit, als ihr uneingeschränkter Antrag auch die gegenüber den übrigen Verfügungsadressatinnen (vgl. die Übersicht unter A.f) ausgesprochenen</w:t>
      </w:r>
    </w:p>
    <w:p>
      <w:r>
        <w:t>B-784/2014 Seite 10 Sanktionsbeträge umfassen sollte. Da sie auch als Drittbeschwerdeführe- rinnen "pro Verfügungsadressatinnen" kein schutzwürdiges Interesse an der Aufhebung dieser Sanktionen geltend zu machen vermögen, ist auf die Beschwerde insoweit nicht einzutreten. Nach konstanter Praxis ebenfalls nicht einzutreten, ist auf den Antrag, das Verfahren sei einzustellen, zumal die Eröffnung einer Untersuchung keine Verfügung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w:t>
      </w:r>
    </w:p>
    <w:p>
      <w:r>
        <w:rPr>
          <w:b/>
        </w:rPr>
        <w:t>E. 1.3</w:t>
      </w:r>
    </w:p>
    <w:p>
      <w:r>
        <w:t>Da die übrigen Sachurteilsvoraussetzungen erfüllt sind, ist auf die Be- schwerde im soeben erwähnten Rahmen einzutreten.</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w:t>
      </w:r>
    </w:p>
    <w:p>
      <w:r>
        <w:t>B-784/2014 Seite 11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Mit dem LVA CH-EU wird die Schweiz luftrechtlich von einem Drittland zu einem EU-Binnenmarktland. Der hohe Integrationsgrad des LVA CH-EU spiegelt sich nicht nur in der weitgehenden Übernahme des EU-Rechts und der Rechtsprechung wider, sondern auch darin, dass Teile dieses Abkommens der Wettbewerbsbehörde der EU (Kommission) und der Europäischen Gerichtsbarkeit unterstellt werden (vgl. Botschaft Bilate- rale I, a.a.O., BBl 1999, 6158; COTTIER ET AL., a.a.O., Rz. 142).</w:t>
      </w:r>
    </w:p>
    <w:p>
      <w:r>
        <w:t>B-784/2014 Seite 12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w:t>
      </w:r>
    </w:p>
    <w:p>
      <w:r>
        <w:t>B-784/2014 Seite 13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w:t>
      </w:r>
    </w:p>
    <w:p>
      <w:r>
        <w:rPr>
          <w:b/>
        </w:rPr>
        <w:t>E. 3.6</w:t>
      </w:r>
    </w:p>
    <w:p>
      <w:r>
        <w:t>Die fraglichen Luftfrachttransporte durch die Beschwerdeführerinnen und deren wettbewerbsrechtliche Beurteilung fallen, zumal sie den Luftver- kehr betreffen, nach Art. 2 LVA CH-EU somit grundsätzlich in dessen Gel- tungsbereich. Zu Recht bestreiten die Verfahrensbeteiligten denn auch nicht, dass für die wettbewerbsrechtliche Beurteilung der sanktionierten, angeblichen Wett- bewerbsabreden zu Luftfrachtverkehrsstrecken zwischen der Schweiz und den fraglichen Drittländern das am 1. Juni 2002 in Kraft getretene LVA CH-</w:t>
      </w:r>
    </w:p>
    <w:p>
      <w:r>
        <w:t>B-784/2014 Seite 14 EU – als neue völkerrechtliche Regelung und Ergänzung zum KG – mass- gebend ist. Die Beschwerdeführerinnen anerkennen im Grundsatz die Entscheidzu- ständigkeit der Vorinstanz für Strecken zwischen der Schweiz und Dritt- staaten. Sie sind indessen der Ansicht, dass die Vorinstanz die Streitsache nicht hätte beurteilen dürfen, weil die für Nicht-EU-Staaten bestimmten Frachtgüter nie direkt von Flughäfen aus der Schweiz, sondern (für […]) einzig von […Stadt in der EU…] beziehungsweise (für […]) einzig von […Stadt in der EU…] aus in Drittländer geflogen worden seien (2[…],31 FN 13).</w:t>
      </w:r>
    </w:p>
    <w:p>
      <w:r>
        <w:rPr>
          <w:b/>
        </w:rPr>
        <w:t>E. 4</w:t>
      </w:r>
    </w:p>
    <w:p>
      <w:r>
        <w:t>Bevor die beanstandete Sanktion beziehungsweise weitere Rechtsfragen diskutiert werden können, ist zu prüfen, ob die den Beschwerdeführerinnen vorgeworfenen Kartellverstösse, sollten sie denn zutreffen, nach dem LVA CH-EU überhaupt in die Beurteilungszuständigkeit der schweizerischen Behörden fallen.</w:t>
      </w:r>
    </w:p>
    <w:p>
      <w:r>
        <w:rPr>
          <w:b/>
        </w:rPr>
        <w:t>E. 4.1</w:t>
      </w:r>
    </w:p>
    <w:p>
      <w:r>
        <w:t>Aus den Akten ist ersichtlich, dass die Beschwerdeführerinnen im sank- tionserheblichen Zeitraum keine direkten Flüge von Schweizer Flughäfen aus in Drittländer ausführten (act. 1:E5,5; act. 1:207,6,14, act. 1:921,300- 312). Gemäss den Ausführungen der Beschwerdeführerinnen […] habe sie die aus der Schweiz stammenden und für Drittländer bestimmten Frachtgüter stets mit Lastwagen zu den Flughäfen […Stadt in der EU…] (für […]) be- ziehungsweise […Stadt in der EU…] (für […]) gefahren (act. 1:E5,5 vgl. auch act. 1:207,14: « En d'autres termes, le fret transporté par […] et […] ne quitte jamais la Suisse à destination d'un pays non membre de la Com- munauté européenne [tout le fret est en effet obligatoirement expédié en […Land in der EU…] ou […Land in der EU…]. A […Stadt in der EU…] comme à […Stadt in der EU…], le fret est rassemblé, le cas échéant repa- lettisé, en vue de son envoi par avion vers sa destination finale. Cette des- tination peut être un pays membre ou non de la Communauté européenne. », sowie act. 1:E5,5: « En d'autres termes […] a mis en exergue que les deux hubs […] étaient un passage obligatoire et incontournable dans le transport du fret et qu'en conséquence le fret ne quittait jamais la Suisse à destination d'un pays non membre de la Communauté européenne, res- pectivement n'était jamais reçu en Suisse en provenance d'un tel pays. », vgl. act. 1:E16,2, act. 1:781,2/183 ff. sowie […], act. 1:921,309 ff.: « Et c'est</w:t>
      </w:r>
    </w:p>
    <w:p>
      <w:r>
        <w:t>B-784/2014 Seite 15 seulement une fois que la Commission de la concurrence nous a dit après un échange de vue avec la Commission européenne qu'elle se considérait compétente même en raison du fait qu'il n'y avait pas de transport aérien en matière de cargo entre la Suisse et […Stadt in der EU…] et […Stadt in der EU…], à […Stadt in der EU…], que la clémence a été déposée. »). Dieser Sachverhalt wurde von der Vorinstanz nicht in Frage gestellt (vgl. insbesondere […], act. 1:921,300 ff.). Das Bundesverwaltungsgericht geht daher im Sinne der Beschwerdeführerinnen davon aus, dass die in die Drittländer (USA, Singapur, Pakistan, Vietnam und die Tschechische Re- publik [bis 30. April 2004, d. h. dem Zeitraum der Entscheidzuständigkeit der Vorinstanz, vgl. 1,1035/1715]) zu befördernde Luftfracht zuerst mit Lastwagen aus der Schweiz zu den Abflughäfen […Stadt in der EU…] (für […]) und […Stadt in der EU…] (für […]) gefahren wurde. In diesem Sinne meldeten die Beschwerdeführerinnen der Vorinstanz auch die der Sankti- onierung zugrunde gelegten Umsätze für die Lastwagentransporte zu den Frachtabflughäfen […Stadt in der EU…] und […Stadt in der EU…] (vgl. act. 1:E5,8 und act. 1:474,5).</w:t>
      </w:r>
    </w:p>
    <w:p>
      <w:r>
        <w:rPr>
          <w:b/>
        </w:rPr>
        <w:t>E. 4.2</w:t>
      </w:r>
    </w:p>
    <w:p>
      <w:r>
        <w:t>Dass die Beschwerdeführerinnen keine direkten Flüge aus der Schweiz in Drittländer ausführten, hält die Vorinstanz indessen für unwe- sentlich. Nach ihrer Ansicht richtet sich die Zuständigkeit einzig nach Art. 11 Abs. 2 LVA CH-EU, das heisst nach der zurückgelegten "Strecke". Diese definiere sich nach dem Luftfrachtbrief, der den Ausgangs- und Bestim- mungsort aufführe.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w:t>
      </w:r>
    </w:p>
    <w:p>
      <w:r>
        <w:t>B-784/2014 Seite 16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31.10.2008, nachfolgend VO 1008/2008) definiere Flugdienst als einen Flug oder eine Folge von Flügen zur gewerblichen Beförderung von Fluggästen, Fracht und/oder Post. Weiter definiere die VO 1008/2008 den Begriff "Flug" als Abflug von einem bestimmten Flug- hafen nach einem bestimmten Zielflughafen.</w:t>
      </w:r>
    </w:p>
    <w:p>
      <w:r>
        <w:t>B-784/2014 Seite 17 Dennoch erachte die EU-Kommission bei der Marktabgrenzung im Bereich Luftfracht direkte Flüge grundsätzlich als substituierbar mit indirekten Flü- gen. Deshalb könnten als "Flug" auch indirekte Flüge mit Segmenten auf dem Landweg verstanden werden.</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 Somit ist vorab zu klären, wie der in Art. 11 Abs. 2 LVA CH-EU verwendete unbestimmte Rechtsbegriff der "Strecken" auszulegen ist.</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 ausländischen Abflughäfen – umfassen könnten, soweit diese in einem entsprechenden Luftfrachtbrief für Gütersendungen in Drittstaaten aufge- führt sind.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30/04/2002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w:t>
      </w:r>
    </w:p>
    <w:p>
      <w:r>
        <w:t>B-784/2014 Seite 19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w:t>
      </w:r>
    </w:p>
    <w:p>
      <w:r>
        <w:t>B-784/2014 Seite 20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w:t>
      </w:r>
    </w:p>
    <w:p>
      <w:r>
        <w:t>B-784/2014 Seite 21 Selbst die Vorinstanz scheint den in Art. 11 Abs. 2 LVA CH-EU verwendeten Begriff der "Strecke" an anderer Stelle als Verbindung zwischen Ausgangs- und Zielflughafen aufzufassen (1,195, vgl. 1,1004, 1006, 1011, wo von "Luftverkehr mit Drittstaaten" die Rede ist). Ebenso wird in der Ziff. 1005 der angefochtenen Verfügung im Zusammenhang mit der Auslegung des LVA CH-EU der strittige Begriff "Strecke" als "Flugstrecke" verstanden, wenn die Vorinstanz die Rechtslage zur Zeit des Abschlusses des LVA CH- EU in Bezug auf "Flugstrecken Schweiz-Drittstaaten" erläutert.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Indessen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w:t>
      </w:r>
    </w:p>
    <w:p>
      <w:r>
        <w:t>B-784/2014 Seite 22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w:t>
      </w:r>
    </w:p>
    <w:p>
      <w:r>
        <w:t>B-784/2014 Seite 23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 transporte handelt, würde ein weites Feld von Abgrenzungsproblemen klaf- fen, welches einen rechtsicheren und reibungslosen Vollzug der in Art. 11 LVA CH-EU vorgesehenen Kompetenzabgrenzung erschweren könnte.</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w:t>
      </w:r>
    </w:p>
    <w:p>
      <w:r>
        <w:t>B-784/2014 Seite 24 sind in einem solchen Fall, unabhängig von der Frage des anwendbaren Rechts, nicht mehr zuständig. Deshalb ist ihnen diesfalls – im Lichte der klaren Kompetenzübertragung an die sachzuständigen EU-Wettbewerbs- behörden – ein Rückgriff auf nationales Recht verwehrt. Unbestrittenen ist, dass die EU-Kommission unter anderem – gleichzeitig wie die Vorinstanz – auch gegen die Beschwerdeführerinnen ein Untersu- chungsverfahren eröffnete und mit Entscheid C(2010) 7694 vom 9. Novem- ber 2010 eine (im Rahmen der Kronzeugenregelung um […] reduzierte) Geldbusse aussprach (vgl. hierzu Urteil des EuG […]). Angesichts des da- mals durchgeführten EU-Verfahrens entfiel die Zuständigkeit der Vor- instanz zur Mitbeurteilung der von der Vorinstanz mitsanktionierten Flüge von den Flughäfen […Stadt in der EU…] und […Stadt in der EU…] in Dritt- staaten, wie aus den Art. 9 Abs. 3 der VO 17/62 und Art. 7 Abs. 2 der VO 3975/87 ersichtlich ist, als sie für den massgeblichen Sanktionszeitraum im Anhang des LVA CH-EU aufgeführt waren.</w:t>
      </w:r>
    </w:p>
    <w:p>
      <w:r>
        <w:rPr>
          <w:b/>
        </w:rPr>
        <w:t>E. 5.6</w:t>
      </w:r>
    </w:p>
    <w:p>
      <w:r>
        <w:t>Nach dem Gesagten war die Vorinstanz nach Art. 11 Abs. 2 LVA CH- EU nicht dafür zuständig, die den Beschwerdeführerinnen vorgeworfenen angeblichen Preisabreden zu Frachtflügen aus […Stadt in der EU…] be- ziehungsweise […Stadt in der EU…] in Drittstaaten zu untersuchen bezie- 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w:t>
      </w:r>
    </w:p>
    <w:p>
      <w:r>
        <w:t>B-784/2014 Seite 18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Beschwerdeführerinnen davon betroffen sind.</w:t>
      </w:r>
    </w:p>
    <w:p>
      <w:r>
        <w:rPr>
          <w:b/>
        </w:rPr>
        <w:t>E. 6.2</w:t>
      </w:r>
    </w:p>
    <w:p>
      <w:r>
        <w:t>Bei diesem Verfahrensergebnis erübrigt sich eine Diskussion zahlrei- cher weiterer, von den Beschwerdeführerinnen vorgebrachten Rügen: So braucht die Frage nicht erörtert zu werden, ob […] als reine Holding- Gesellschaft mangels Zurechenbarkeit des vorgeworfenen Verhaltens zu Unrecht sanktioniert worden sei (2[…],42,71-121). Auch kann offenbleiben, ob die erfolgte Sanktionierung bereits wegen der angeblich eingetretenen Verjährung (2[…], 41,47-70) oder wegen der über- langen Verfahrensdauer unzulässig sei (2[…],38,43,148-190).</w:t>
      </w:r>
    </w:p>
    <w:p>
      <w:r>
        <w:t>B-784/2014 Seite 25 Ferner brauchen auch alle formellen Rügen nicht weiter erörtert zu werden, d. h. (1) ob die Vorinstanz den Beschwerdeführerinnen gegenüber die Ak- teneinsicht unzulässigerweise verweigert habe (2[…],191-205), (2) ob ihnen genügend Zeit zur Vorbereitung einer wirksamen Verteidigung gewährt worden sei beziehungsweise (3) ob ihnen unter verfassungsrechtlichen Gesichtspunkten der Verfügungsantrag und die Sanktionsverfügung in […] Sprache hätte eröffnet werden müssen (2[…],122-147).</w:t>
      </w:r>
    </w:p>
    <w:p>
      <w:r>
        <w:rPr>
          <w:b/>
        </w:rPr>
        <w:t>E. 6.2.1</w:t>
      </w:r>
    </w:p>
    <w:p>
      <w:r>
        <w:t>Angesichts des Obsiegens können auch alle materiellen Rügen of- fenbleiben insbesondere, ob sich die Beschwerdeführerinnen bezüglich den einzelnen Preisbestandteilen und der Kommissionierung von Zuschlä- gen an kartellrechtswidrigen Vereinbarungen oder Abstimmungen beteiligt haben beziehungsweise ob hierzu ein Gesamtplan bestanden habe (2[…],44,206-297,308-322). Auch nicht weiter einzugehen ist auf die Kritik zur Sanktionsberechnung (2[…],45,323-452).</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obsie- gende Parteien, zumal das ihnen gegenüber ausgesprochene Verbot (Dis- positiv Ziffer 1), die Verpflichtung zur Bezahlung einer Sanktion (Dispositiv Ziffer 2) sowie die Tragung von Verfahrenskosten (Dispositiv Ziffer 4) im Streit lagen. Deshalb sind den Beschwerdeführerinnen keine Verfahrens- kosten aufzuerlegen und der geleistete Kostenvorschuss von insgesamt Fr. […] ist ihr nach Eintritt der Rechtskraft des vorliegenden Urteils zurück- zuerstatten.</w:t>
      </w:r>
    </w:p>
    <w:p>
      <w:r>
        <w:rPr>
          <w:b/>
        </w:rPr>
        <w:t>E. 7.2</w:t>
      </w:r>
    </w:p>
    <w:p>
      <w:r>
        <w:t>Die Beschwerdeinstanz kann der ganz oder teilweise obsiegenden Partei von Amtes wegen oder auf Begehren eine Entschädigung für ihr er- wachsene notwendige und verhältnismässig hohe Kosten zusprechen (Art. 64 Abs. 1 VwVG).</w:t>
      </w:r>
    </w:p>
    <w:p>
      <w:r>
        <w:t>B-784/2014 Seite 26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den Beschwerdeführerinnen, da sie obsiegen, eine Parteientschädigung zuzusprechen (Art. 64 Abs. 1 VwVG, Art. 7 Abs. 2 VGKE). Soweit eine Parteientschädigung nicht einer unterliegenden Ge- genpartei auferlegt werden kann, wird sie der Körperschaft oder autono- 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Den obsiegenden Beschwerdeführerinnen ist eine Parteientschädi- gung zulasten der Vorinstanz zuzusprechen. Mit Kostennote vom 9. Januar 2018 machen sie einen Aufwand von (1) Fr. 112'370.– (für die Rechtsan- wälte […] zu einem Stundenansatz von Fr. 500.–) sowie (2) von Fr. 1'750.– (für die Rechtspraktikantin […] zu einem Stundenansatz von Fr. 250.–) gel- tend – sowie Auslagen von Fr. 290.–. Mehrwertsteuer wird keine in Rech- nung gestellt. In der Kostennote sind alle Aufwandspositionen vom 13. Januar 2014 bis 10. November 2014 detailliert und nachvollziehbar ausgewiesen. Der Um- fang der geltend gemachten Aufwendungen lässt sich angesichts der um- fangreichen Verfügung sowie der weitläufigen Verfahrensakten und der</w:t>
      </w:r>
    </w:p>
    <w:p>
      <w:r>
        <w:t>B-784/2014 Seite 27 Komplexität der Streitsache grundsätzlich nicht beanstanden. Indessen be- trägt der nach Art. 10 Abs. 2 VGKE anzuwendende anwaltliche Stunden- ansatz höchstens Fr. 400.–, weshalb der geltend gemachte Betrag von Fr. 112'370.– entsprechend auf Fr. 89'896.– zu kürzen ist. Somit ist den obsiegenden Beschwerdeführerinnen zulasten der Vorinstanz eine Partei- entschädigung von Fr. 91'976.– (= Fr. 89'896.– + 1'790.– + Fr. 290.–) zu- zusprechen. Diese hat die Vorinstanz den Beschwerdeführerinnen nach Rechtskraft dieses Urteils zu entrichten (Art. 64 Abs. 1 und 2 VwVG i.V.m. Art. 14 Abs. 2 VGKE). (Dispositiv auf der nächsten Seite)</w:t>
      </w:r>
    </w:p>
    <w:p>
      <w:r>
        <w:t>B-784/2014 Seite 28</w:t>
      </w:r>
    </w:p>
    <w:p>
      <w:r>
        <w:rPr>
          <w:b/>
        </w:rPr>
        <w:t>E. 11</w:t>
      </w:r>
    </w:p>
    <w:p>
      <w:r>
        <w:t>April 2011 [in BGE 137 II 199 nicht publizierte] E. 8.3.1). Indessen um- fasst die Parteientschädigung nur die notwendigen Kosten (Urteil des BGer 2C_343/2010, 2C_344/2010 E. 8.3.4).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