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B-779/2019 vom 29. Mai 2019</w:t>
      </w:r>
    </w:p>
    <w:p>
      <w:r>
        <w:t>Bundesverwaltungsgericht, 2019-05-29, FR</w:t>
      </w:r>
    </w:p>
    <w:p>
      <w:r>
        <w:rPr>
          <w:b/>
        </w:rPr>
        <w:t xml:space="preserve">Quelle: </w:t>
      </w:r>
      <w:r>
        <w:t>https://mcp.opencaselaw.ch/entscheid/bvger_B-779_2019</w:t>
      </w:r>
    </w:p>
    <w:p>
      <w:r>
        <w:t>FR: TAF B-779/2019 du 29 mai 2019</w:t>
      </w:r>
    </w:p>
    <w:p>
      <w:r>
        <w:t>IT: TAF B-779/2019 del 29 maggio 2019</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LTAF et art. 5 al. 1 let. a PA). La qualité pour recourir doit être reconnue au recourant (cf. art. 48 al. 1 PA). Les autres conditions de recevabilité sont en outre respectées (cf. art. 11 al. 1, 50 al. 1, 52 al. 1 et 63 al. 4 PA). Le recours est ainsi recevable.</w:t>
      </w:r>
    </w:p>
    <w:p>
      <w:r>
        <w:rPr>
          <w:b/>
        </w:rPr>
        <w:t>E. 2</w:t>
      </w:r>
    </w:p>
    <w:p>
      <w:r>
        <w:t>L'ordonnance du 7 décembre 1998 sur l'examen suisse de maturité (RS 413.12 ; ci-après : l'ordonnance ESM) régit l'examen suisse de maturité qui confère le certificat de maturité gymnasiale s'il est réussi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procédures et les critères d'évaluation (let. c). Se fondant sur cet article, la Commission suisse de maturité a édicté en mars 2011 les Directives pour l'examen suisse de maturité, valables dès le 1er janvier 2012 (ci-après : les directives,&lt; https://www.sbfi.admin.ch/sbfi/fr/home/formation/maturite/maturite-gymnasiale /examen-suisse-de-maturite.html&gt;).</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121 I 225 consid. 4b ; ATAF 2010/11 consid. 4.1, 2008/14 consid. 3.1 ; arrêt du TAF B-4257/2013 du 17 novembre 2015 consid. 3.1).</w:t>
      </w:r>
    </w:p>
    <w:p>
      <w:r>
        <w:rPr>
          <w:b/>
        </w:rPr>
        <w:t>E. 3.2</w:t>
      </w:r>
    </w:p>
    <w:p>
      <w:r>
        <w:t>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B-6776/2014 du 24 septembre 2015 consid. 3.1 in fine et B-6727/2013 du 8 juillet 2014 consid. 4). Le seul fait de prétendre qu'une autre solution est possible, que l'avis de la commission d'examen ou qu'un corrigé est erroné ou incomplet, ne satisfait pas à ces exigences (cf. arrêts du TAF B-6776/2014 précité consid. 3.1 in fine et B-2229/2011 du 13 février 2012 consid. 6.1).</w:t>
      </w:r>
    </w:p>
    <w:p>
      <w:r>
        <w:rPr>
          <w:b/>
        </w:rPr>
        <w:t>E. 3.3</w:t>
      </w:r>
    </w:p>
    <w:p>
      <w:r>
        <w:t>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131 I 467 consid. 2.7, 106 Ia 1 consid. 3c ; ATAF 2010/11 consid. 4.2 ; arrêt du TAF B-6395/2014 du 29 novembre 2016 consid. 3.3 et les références citées ; Patricia Egli, Gerichtlicher Rechtsschutz bei Prüfungsfällen - Aktuelle Entwicklungen, Schweizerisches Zentralblatt für Staats- und Verwaltungsrecht [ZBl] 112/2011, p. 538 ss).</w:t>
      </w:r>
    </w:p>
    <w:p>
      <w:r>
        <w:rPr>
          <w:b/>
        </w:rPr>
        <w:t>E. 4</w:t>
      </w:r>
    </w:p>
    <w:p>
      <w:r>
        <w:t>En vertu de l'art. 22 al. 1 de l'ordonnance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En l'espèce, le recourant a obtenu, au terme de son examen, 84 points et totalise cinq notes négatives ; les conditions de réussite de celui-ci ne sont, en l'état, pas réunies.</w:t>
      </w:r>
    </w:p>
    <w:p>
      <w:r>
        <w:rPr>
          <w:b/>
        </w:rPr>
        <w:t>E. 5</w:t>
      </w:r>
    </w:p>
    <w:p>
      <w:r>
        <w:t>Le recourant s'en prend uniquement à l'épreuve orale d'option complémentaire « Economie et droit », invoquant une violation des directives. Il estime que le calcul, qui lui a été demandé, pour passer d'un revenu nominal à un revenu réel irait au-delà de la différenciation des deux revenus telle qu'elle est prévue dans les directives.</w:t>
      </w:r>
    </w:p>
    <w:p>
      <w:r>
        <w:rPr>
          <w:b/>
        </w:rPr>
        <w:t>E. 5.1</w:t>
      </w:r>
    </w:p>
    <w:p>
      <w:r>
        <w:t>Les objectifs de l'épreuve sont de déterminer si le candidat possède un savoir économique et juridique approfondi et structuré, s'il est à même de l'utiliser méthodiquement dans des situations, face à des problèmes complexes ainsi que d'aborder et résoudre des problèmes de manière méthodique et dans une perspective contextuelle (capacité de saisir les interrelations) (art. 8.10.1 des directives). Le candidat doit notamment être capable de différencier un revenu nominal d'un revenu réel (art. 8.10.4 des directives).</w:t>
      </w:r>
    </w:p>
    <w:p>
      <w:r>
        <w:rPr>
          <w:b/>
        </w:rPr>
        <w:t>E. 5.2</w:t>
      </w:r>
    </w:p>
    <w:p>
      <w:r>
        <w:t>Selon l'examinateur, la réponse du recourant n'a pas permis de démontrer qu'il avait compris les deux notions. Il indique que dire que le revenu réel tient compte de l'inflation ne suffit vraiment pas. Il expose ensuite les différentes manières de démontrer une bonne compréhension de la distinction entre revenu réel et nominal. Cela peut notamment s'effectuer au moyen de calcul en lien avec l'indice des prix à la consommation. Il est toutefois possible de différencier les deux revenus en définissant rigoureusement les deux notions et en indiquant que le revenu réel mesure le pouvoir d'achat et que, pour l'obtenir, il faut éliminer la composante hausse des prix, que le revenu nominal incorpore éventuellement. L'expert a quant à lui mentionné que les réponses du recourant avaient manqué de précision et que celui-ci avait nécessité l'aide de l'examinateur. Concernant la différenciation des revenus réel et nominal, il indique que la réponse du recourant était correcte mais qu'il n'avait pas été capable de calculer les deux revenus. De manière générale, il a confirmé l'insuffisance de la prestation du recourant lors de cette épreuve.</w:t>
      </w:r>
    </w:p>
    <w:p>
      <w:r>
        <w:rPr>
          <w:b/>
        </w:rPr>
        <w:t>E. 5.3</w:t>
      </w:r>
    </w:p>
    <w:p>
      <w:r>
        <w:t>En l'occurrence, la question de savoir si un calcul pouvait ou non être demandé lors de l'épreuve en cause peut demeurer indécise. En effet, il suffit de déterminer si l'examinateur et l'expert étaient en droit de considérer que la prestation du recourant ne permettait pas de considérer que celui-ci avait bel et bien compris la différence entre le revenu réel et le revenu nominal, le recours à un calcul consistant en un moyen parmi d'autres pour ce faire. A suivre l'examinateur, le recourant a simplement précisé que le revenu réel tenait compte de l'inflation. Le recourant prétend certes dans sa réplique avoir rigoureusement défini les deux notions comme requis par l'examinateur. Sa version n'est toutefois étayée par aucun élément concret. La prise de position de l'expert ne lui est en outre d'aucune aide sur ce point. Lorsque celui-ci indique que le recourant a répondu correctement à la question, il ne se prononce pas encore sur la compréhension de la distinction des deux notions ni sur le point de savoir si la réponse était suffisante. En effet, il est en soi correct d'indiquer que le revenu réel tient compte de l'inflation. Une autre appréciation de la prise de position de l'expert serait incompatible avec sa conclusion selon laquelle la note insuffisante attribuée était justifiée. Dans ces circonstances, il y a lieu d'admettre que la réponse du recourant sans être erronée n'a pas permis d'établir qu'il comprenait bel et bien la différence entre le revenu réel et le revenu nominal. Rien n'indique en particulier qu'il aurait rigoureusement défini chacune des notions en faisant référence, d'une part, au pouvoir d'achat en lien avec le revenu réel et, d'autre part, à la nécessité d'ôter du revenu nominal son éventuelle composante hausse de prix pour obtenir celui-là. Il suit de là que l'évaluation de la prestation du recourant ne contrevient nullement aux directives ni ne prête le flanc à la critique. Infondé le recours doit être rejeté.</w:t>
      </w:r>
    </w:p>
    <w:p>
      <w:r>
        <w:rPr>
          <w:b/>
        </w:rPr>
        <w:t>E. 6</w:t>
      </w:r>
    </w:p>
    <w:p>
      <w:r>
        <w:t>En définitive, l'acte attaqué ne viole pas le droit fédéral, ne constate pas les faits pertinents de manière inexacte ou incomplète et n'est pas inopportun (cf. art. 49 PA). Mal fondé, le recours doit être rejeté.</w:t>
      </w:r>
    </w:p>
    <w:p>
      <w:r>
        <w:rPr>
          <w:b/>
        </w:rPr>
        <w:t>E. 7</w:t>
      </w:r>
    </w:p>
    <w:p>
      <w:r>
        <w:t>Vu l'issue du litige,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800. - ; ils sont entièrement compensés par l'avance de frais de Fr. 800. - prestée, le 28 février 2019, par le recourant. Compte tenu de l'issue de la procédure, le recourant n'a pas droit à des dépens (cf. art. 64 al. 1 PA et art. 7 al. 1 FITAF a contrario).</w:t>
      </w:r>
    </w:p>
    <w:p>
      <w:r>
        <w:rPr>
          <w:b/>
        </w:rPr>
        <w:t>E. 8</w:t>
      </w:r>
    </w:p>
    <w:p>
      <w:r>
        <w:t>Le présent arrêt est définitif (cf. art. 83 let. t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