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B-7773/2015 vom 16. März 2016</w:t>
      </w:r>
    </w:p>
    <w:p>
      <w:r>
        <w:t>Bundesverwaltungsgericht, 2016-03-16, FR</w:t>
      </w:r>
    </w:p>
    <w:p>
      <w:r>
        <w:rPr>
          <w:b/>
        </w:rPr>
        <w:t xml:space="preserve">Quelle: </w:t>
      </w:r>
      <w:r>
        <w:t>https://mcp.opencaselaw.ch/entscheid/bvger_B-7773_2015</w:t>
      </w:r>
    </w:p>
    <w:p>
      <w:r>
        <w:t>FR: TAF B-7773/2015 du 16 mars 2016</w:t>
      </w:r>
    </w:p>
    <w:p>
      <w:r>
        <w:t>IT: TAF B-7773/2015 del 16 marzo 2016</w:t>
      </w:r>
    </w:p>
    <w:p>
      <w:pPr>
        <w:pStyle w:val="Heading2"/>
      </w:pPr>
      <w:r>
        <w:t>Regeste</w:t>
      </w:r>
    </w:p>
    <w:p>
      <w:r>
        <w:t>Entraide administrative internationale</w:t>
      </w:r>
    </w:p>
    <w:p>
      <w:pPr>
        <w:pStyle w:val="Heading2"/>
      </w:pPr>
      <w:r>
        <w:t>Erwägungen</w:t>
      </w:r>
    </w:p>
    <w:p>
      <w:r>
        <w:rPr>
          <w:b/>
        </w:rPr>
        <w:t>E. 7</w:t>
      </w:r>
    </w:p>
    <w:p>
      <w:r>
        <w:t>Dans ses déterminations du 11 décembre 2015 complétant son recours du 30 novembre 2015, la recourante déclare que la SEC a été notifiée en temps utile de tout ou partie des transactions en lien avec sa requête d'entraide du 14 mars 2013. Elle qualifie ces éléments de décisifs pour l'issue du recours dès lors qu'ils démontrent que la SEC était au courant des transactions effectuées par la recourante ; que la recourante n'a pas violé une quelconque obligation d'annonce ; que la SEC ne dispose dès lors d'aucun soupçon d'infraction à l'encontre de la recourante et tente manifestement une fishing expedition contraire à l'ordre public suisse ; que la SEC, au courant des transactions visées par sa requête, cherchait manifestement à obtenir des informations et documents visés par sa requête auprès de la FINMA afin de les utiliser à d'autres fins que la mise en oeuvre de la réglementation sur les bourses et les valeurs mobilières, violant ainsi le principe de la spécialité ; qu'elle dispose d'un intérêt privé prépondérant au rejet de la requête sous l'angle du principe de la proportionnalité. De son côté, l'autorité inférieure qualifie ces considérations d'irrecevables quant à la forme car déposées en dehors du délai de recours. Elle souligne néanmoins que le fait que la SEC ait été notifiée de l'achat de titres C._______ par la recourante n'enlève rien aux soupçons fondés de l'autorité inférieure portant sur une possible manipulation de marché. Par ailleurs, elle estime que le fait de communiquer à l'autorité étrangère des renseignements dont elle bénéficie déjà facilite la tâche des autorités sans porter le moindre préjudice à la recourante. La question se pose du caractère décisif de ces allégués tardifs (art. 32 al. 2 PA ; cf. supra consid. 4.1.1). À cet égard, il convient d'emblée de reconnaître avec l'autorité inférieure que la procédure diligentée par la SEC vise en priorité à déterminer l'existence d'une éventuelle manipulation de marché ; les faits reprochés exposés dans la requête du 14 mars 2013 (cf. supra Faits A) s'avèrent bien plus complexes qu'une seule et simple violation d'une obligation d'annonce. Ils fondent manifestement un soupçon initial suffisant de possibles manquements aux obligations légales et réglementaires ou distorsions du marché que les explications de la recourante ne parviennent clairement pas à désamorcer. En outre, on peine à voir à quelles fins étrangères à la mise en oeuvre de la réglementation sur les bourses et les valeurs mobilières la SEC envisagerait d'utiliser les informations requises ; la recourante ne le dit pas non plus. Or, il est admis que la SEC respecte d'une manière générale le principe de la spécialité (cf. supra consid. 3) et aucun élément in casu ne permet d'admettre le contraire. Il en découle que les griefs avancés par la recourante dans ses déterminations du 11 décembre 2015 sont sans pertinence dans la présente affaire de sorte qu'ils ne peuvent pas être pris en considération ; en tout état de cause, même s'ils l'étaient, ils seraient rejetés.</w:t>
      </w:r>
    </w:p>
    <w:p>
      <w:r>
        <w:rPr>
          <w:b/>
        </w:rPr>
        <w:t>E. 8</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respectant les conditions mentionnées et traitées ci-dessus, n'est pas inopportune (art. 49 PA). Dès lors, mal fondé, le recours doit être rejeté.</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3'000 francs, doivent être intégralement mis à sa charge. Ils sont compensés par l'avance de frais de 3'000 francs déjà versée.</w:t>
      </w:r>
    </w:p>
    <w:p>
      <w:r>
        <w:rPr>
          <w:b/>
        </w:rPr>
        <w:t>E. 9.2</w:t>
      </w:r>
    </w:p>
    <w:p>
      <w:r>
        <w:t>Vu l'issue de la procédure, la recourante n'a pas droit à des dépens (art. 64 PA).</w:t>
      </w:r>
    </w:p>
    <w:p>
      <w:r>
        <w:rPr>
          <w:b/>
        </w:rPr>
        <w:t>E. 10</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